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3CB8" w14:textId="486EB908" w:rsidR="005030C7" w:rsidRPr="00092D27" w:rsidRDefault="00682013" w:rsidP="005030C7">
      <w:pPr>
        <w:contextualSpacing/>
        <w:jc w:val="both"/>
        <w:rPr>
          <w:rFonts w:ascii="Times New Roman" w:hAnsi="Times New Roman" w:cs="Times New Roman"/>
          <w:b/>
          <w:color w:val="548DD4" w:themeColor="text2" w:themeTint="99"/>
          <w:sz w:val="28"/>
          <w:szCs w:val="28"/>
        </w:rPr>
      </w:pPr>
      <w:r w:rsidRPr="00092D27">
        <w:rPr>
          <w:rFonts w:ascii="Times New Roman" w:hAnsi="Times New Roman" w:cs="Times New Roman"/>
          <w:b/>
          <w:color w:val="548DD4" w:themeColor="text2" w:themeTint="99"/>
          <w:sz w:val="28"/>
          <w:szCs w:val="28"/>
        </w:rPr>
        <w:t xml:space="preserve">Lühiülevaade </w:t>
      </w:r>
      <w:r w:rsidR="00255AD8" w:rsidRPr="00092D27">
        <w:rPr>
          <w:rFonts w:ascii="Times New Roman" w:hAnsi="Times New Roman" w:cs="Times New Roman"/>
          <w:b/>
          <w:color w:val="548DD4" w:themeColor="text2" w:themeTint="99"/>
          <w:sz w:val="28"/>
          <w:szCs w:val="28"/>
        </w:rPr>
        <w:t xml:space="preserve">Kohila valla </w:t>
      </w:r>
      <w:r w:rsidRPr="00092D27">
        <w:rPr>
          <w:rFonts w:ascii="Times New Roman" w:hAnsi="Times New Roman" w:cs="Times New Roman"/>
          <w:b/>
          <w:color w:val="548DD4" w:themeColor="text2" w:themeTint="99"/>
          <w:sz w:val="28"/>
          <w:szCs w:val="28"/>
        </w:rPr>
        <w:t>20</w:t>
      </w:r>
      <w:r w:rsidR="009D0FA0" w:rsidRPr="00092D27">
        <w:rPr>
          <w:rFonts w:ascii="Times New Roman" w:hAnsi="Times New Roman" w:cs="Times New Roman"/>
          <w:b/>
          <w:color w:val="548DD4" w:themeColor="text2" w:themeTint="99"/>
          <w:sz w:val="28"/>
          <w:szCs w:val="28"/>
        </w:rPr>
        <w:t>2</w:t>
      </w:r>
      <w:r w:rsidR="002B00B5" w:rsidRPr="00092D27">
        <w:rPr>
          <w:rFonts w:ascii="Times New Roman" w:hAnsi="Times New Roman" w:cs="Times New Roman"/>
          <w:b/>
          <w:color w:val="548DD4" w:themeColor="text2" w:themeTint="99"/>
          <w:sz w:val="28"/>
          <w:szCs w:val="28"/>
        </w:rPr>
        <w:t>1</w:t>
      </w:r>
      <w:r w:rsidRPr="00092D27">
        <w:rPr>
          <w:rFonts w:ascii="Times New Roman" w:hAnsi="Times New Roman" w:cs="Times New Roman"/>
          <w:b/>
          <w:color w:val="548DD4" w:themeColor="text2" w:themeTint="99"/>
          <w:sz w:val="28"/>
          <w:szCs w:val="28"/>
        </w:rPr>
        <w:t>.</w:t>
      </w:r>
      <w:r w:rsidR="003B0467" w:rsidRPr="00092D27">
        <w:rPr>
          <w:rFonts w:ascii="Times New Roman" w:hAnsi="Times New Roman" w:cs="Times New Roman"/>
          <w:b/>
          <w:color w:val="548DD4" w:themeColor="text2" w:themeTint="99"/>
          <w:sz w:val="28"/>
          <w:szCs w:val="28"/>
        </w:rPr>
        <w:t xml:space="preserve"> a</w:t>
      </w:r>
      <w:r w:rsidR="00E945FF" w:rsidRPr="00092D27">
        <w:rPr>
          <w:rFonts w:ascii="Times New Roman" w:hAnsi="Times New Roman" w:cs="Times New Roman"/>
          <w:b/>
          <w:color w:val="548DD4" w:themeColor="text2" w:themeTint="99"/>
          <w:sz w:val="28"/>
          <w:szCs w:val="28"/>
        </w:rPr>
        <w:t xml:space="preserve">asta </w:t>
      </w:r>
      <w:r w:rsidRPr="00092D27">
        <w:rPr>
          <w:rFonts w:ascii="Times New Roman" w:hAnsi="Times New Roman" w:cs="Times New Roman"/>
          <w:b/>
          <w:color w:val="548DD4" w:themeColor="text2" w:themeTint="99"/>
          <w:sz w:val="28"/>
          <w:szCs w:val="28"/>
        </w:rPr>
        <w:t xml:space="preserve">eelarvest </w:t>
      </w:r>
    </w:p>
    <w:p w14:paraId="703DB5B3" w14:textId="5A64863E" w:rsidR="005030C7" w:rsidRPr="00CC3B8E" w:rsidRDefault="00682013" w:rsidP="005030C7">
      <w:pPr>
        <w:pStyle w:val="Pealkiri1"/>
        <w:contextualSpacing/>
        <w:jc w:val="both"/>
        <w:rPr>
          <w:rFonts w:ascii="Times New Roman" w:hAnsi="Times New Roman" w:cs="Times New Roman"/>
        </w:rPr>
      </w:pPr>
      <w:r w:rsidRPr="00CC3B8E">
        <w:rPr>
          <w:rFonts w:ascii="Times New Roman" w:hAnsi="Times New Roman" w:cs="Times New Roman"/>
        </w:rPr>
        <w:t>20</w:t>
      </w:r>
      <w:r w:rsidR="003C7640" w:rsidRPr="00CC3B8E">
        <w:rPr>
          <w:rFonts w:ascii="Times New Roman" w:hAnsi="Times New Roman" w:cs="Times New Roman"/>
        </w:rPr>
        <w:t>2</w:t>
      </w:r>
      <w:r w:rsidR="002B00B5" w:rsidRPr="00CC3B8E">
        <w:rPr>
          <w:rFonts w:ascii="Times New Roman" w:hAnsi="Times New Roman" w:cs="Times New Roman"/>
        </w:rPr>
        <w:t>1</w:t>
      </w:r>
      <w:r w:rsidRPr="00CC3B8E">
        <w:rPr>
          <w:rFonts w:ascii="Times New Roman" w:hAnsi="Times New Roman" w:cs="Times New Roman"/>
        </w:rPr>
        <w:t>.</w:t>
      </w:r>
      <w:r w:rsidR="00623AB1" w:rsidRPr="00CC3B8E">
        <w:rPr>
          <w:rFonts w:ascii="Times New Roman" w:hAnsi="Times New Roman" w:cs="Times New Roman"/>
        </w:rPr>
        <w:t xml:space="preserve"> </w:t>
      </w:r>
      <w:r w:rsidRPr="00CC3B8E">
        <w:rPr>
          <w:rFonts w:ascii="Times New Roman" w:hAnsi="Times New Roman" w:cs="Times New Roman"/>
        </w:rPr>
        <w:t xml:space="preserve">aastaks on </w:t>
      </w:r>
      <w:r w:rsidR="00897B89" w:rsidRPr="00CC3B8E">
        <w:rPr>
          <w:rFonts w:ascii="Times New Roman" w:hAnsi="Times New Roman" w:cs="Times New Roman"/>
        </w:rPr>
        <w:t xml:space="preserve">Kohila </w:t>
      </w:r>
      <w:r w:rsidRPr="00CC3B8E">
        <w:rPr>
          <w:rFonts w:ascii="Times New Roman" w:hAnsi="Times New Roman" w:cs="Times New Roman"/>
        </w:rPr>
        <w:t xml:space="preserve">vallal </w:t>
      </w:r>
      <w:r w:rsidR="003B0467" w:rsidRPr="00CC3B8E">
        <w:rPr>
          <w:rFonts w:ascii="Times New Roman" w:hAnsi="Times New Roman" w:cs="Times New Roman"/>
        </w:rPr>
        <w:t>järgmised prioriteedid:</w:t>
      </w:r>
      <w:r w:rsidR="00DA00D5" w:rsidRPr="00CC3B8E">
        <w:rPr>
          <w:rFonts w:ascii="Times New Roman" w:hAnsi="Times New Roman" w:cs="Times New Roman"/>
        </w:rPr>
        <w:t xml:space="preserve"> </w:t>
      </w:r>
    </w:p>
    <w:p w14:paraId="0A709A4D" w14:textId="406A58F3" w:rsidR="00DA00D5" w:rsidRPr="00092F4D" w:rsidRDefault="0073261F" w:rsidP="005030C7">
      <w:pPr>
        <w:pStyle w:val="ListParagraph"/>
        <w:numPr>
          <w:ilvl w:val="0"/>
          <w:numId w:val="2"/>
        </w:numPr>
        <w:jc w:val="both"/>
        <w:rPr>
          <w:rFonts w:ascii="Times New Roman" w:hAnsi="Times New Roman" w:cs="Times New Roman"/>
          <w:color w:val="000000" w:themeColor="text1"/>
        </w:rPr>
      </w:pPr>
      <w:proofErr w:type="spellStart"/>
      <w:r w:rsidRPr="00092F4D">
        <w:rPr>
          <w:rFonts w:ascii="Times New Roman" w:hAnsi="Times New Roman" w:cs="Times New Roman"/>
          <w:color w:val="000000" w:themeColor="text1"/>
        </w:rPr>
        <w:t>Aespa</w:t>
      </w:r>
      <w:proofErr w:type="spellEnd"/>
      <w:r w:rsidRPr="00092F4D">
        <w:rPr>
          <w:rFonts w:ascii="Times New Roman" w:hAnsi="Times New Roman" w:cs="Times New Roman"/>
          <w:color w:val="000000" w:themeColor="text1"/>
        </w:rPr>
        <w:t xml:space="preserve"> lasteaia ehitus</w:t>
      </w:r>
      <w:r w:rsidR="00C756DF" w:rsidRPr="00092F4D">
        <w:rPr>
          <w:rFonts w:ascii="Times New Roman" w:hAnsi="Times New Roman" w:cs="Times New Roman"/>
          <w:color w:val="000000" w:themeColor="text1"/>
        </w:rPr>
        <w:t>;</w:t>
      </w:r>
    </w:p>
    <w:p w14:paraId="1CDC42A2" w14:textId="438E4EC2" w:rsidR="008500B3" w:rsidRPr="00092F4D" w:rsidRDefault="00AE242F" w:rsidP="001B7A31">
      <w:pPr>
        <w:pStyle w:val="ListParagraph"/>
        <w:numPr>
          <w:ilvl w:val="0"/>
          <w:numId w:val="2"/>
        </w:numPr>
        <w:jc w:val="both"/>
        <w:rPr>
          <w:rFonts w:ascii="Times New Roman" w:hAnsi="Times New Roman" w:cs="Times New Roman"/>
          <w:color w:val="000000" w:themeColor="text1"/>
        </w:rPr>
      </w:pPr>
      <w:r w:rsidRPr="00092F4D">
        <w:rPr>
          <w:rFonts w:ascii="Times New Roman" w:hAnsi="Times New Roman" w:cs="Times New Roman"/>
          <w:color w:val="000000" w:themeColor="text1"/>
        </w:rPr>
        <w:t>Investeeringu</w:t>
      </w:r>
      <w:r w:rsidR="001A23AD" w:rsidRPr="00092F4D">
        <w:rPr>
          <w:rFonts w:ascii="Times New Roman" w:hAnsi="Times New Roman" w:cs="Times New Roman"/>
          <w:color w:val="000000" w:themeColor="text1"/>
        </w:rPr>
        <w:t>d teedesse</w:t>
      </w:r>
      <w:r w:rsidR="00AC0050" w:rsidRPr="00092F4D">
        <w:rPr>
          <w:rFonts w:ascii="Times New Roman" w:hAnsi="Times New Roman" w:cs="Times New Roman"/>
          <w:color w:val="000000" w:themeColor="text1"/>
        </w:rPr>
        <w:t xml:space="preserve"> ja tänavavalgustus</w:t>
      </w:r>
      <w:r w:rsidR="008500B3" w:rsidRPr="00092F4D">
        <w:rPr>
          <w:rFonts w:ascii="Times New Roman" w:hAnsi="Times New Roman" w:cs="Times New Roman"/>
          <w:color w:val="000000" w:themeColor="text1"/>
        </w:rPr>
        <w:t>e rekonstrueeri</w:t>
      </w:r>
      <w:r w:rsidR="0073261F" w:rsidRPr="00092F4D">
        <w:rPr>
          <w:rFonts w:ascii="Times New Roman" w:hAnsi="Times New Roman" w:cs="Times New Roman"/>
          <w:color w:val="000000" w:themeColor="text1"/>
        </w:rPr>
        <w:t>mise jätkamine</w:t>
      </w:r>
      <w:r w:rsidR="00C756DF" w:rsidRPr="00092F4D">
        <w:rPr>
          <w:rFonts w:ascii="Times New Roman" w:hAnsi="Times New Roman" w:cs="Times New Roman"/>
          <w:color w:val="000000" w:themeColor="text1"/>
        </w:rPr>
        <w:t>;</w:t>
      </w:r>
    </w:p>
    <w:p w14:paraId="48F4FF57" w14:textId="7F1D0A0D" w:rsidR="00AC0050" w:rsidRPr="00092F4D" w:rsidRDefault="0073261F" w:rsidP="001B7A31">
      <w:pPr>
        <w:pStyle w:val="ListParagraph"/>
        <w:numPr>
          <w:ilvl w:val="0"/>
          <w:numId w:val="2"/>
        </w:numPr>
        <w:jc w:val="both"/>
        <w:rPr>
          <w:rFonts w:ascii="Times New Roman" w:hAnsi="Times New Roman" w:cs="Times New Roman"/>
          <w:color w:val="000000" w:themeColor="text1"/>
        </w:rPr>
      </w:pPr>
      <w:r w:rsidRPr="00092F4D">
        <w:rPr>
          <w:rFonts w:ascii="Times New Roman" w:hAnsi="Times New Roman" w:cs="Times New Roman"/>
          <w:color w:val="000000" w:themeColor="text1"/>
        </w:rPr>
        <w:t>Spordirajatistele suunatud tegevus</w:t>
      </w:r>
      <w:r w:rsidR="00C756DF" w:rsidRPr="00092F4D">
        <w:rPr>
          <w:rFonts w:ascii="Times New Roman" w:hAnsi="Times New Roman" w:cs="Times New Roman"/>
          <w:color w:val="000000" w:themeColor="text1"/>
        </w:rPr>
        <w:t>;</w:t>
      </w:r>
    </w:p>
    <w:p w14:paraId="37A534C1" w14:textId="3052CD6C" w:rsidR="00E53BEA" w:rsidRPr="00092F4D" w:rsidRDefault="0073261F" w:rsidP="002B00B5">
      <w:pPr>
        <w:pStyle w:val="ListParagraph"/>
        <w:numPr>
          <w:ilvl w:val="0"/>
          <w:numId w:val="2"/>
        </w:numPr>
        <w:jc w:val="both"/>
        <w:rPr>
          <w:rFonts w:ascii="Times New Roman" w:hAnsi="Times New Roman" w:cs="Times New Roman"/>
          <w:color w:val="000000" w:themeColor="text1"/>
        </w:rPr>
      </w:pPr>
      <w:r w:rsidRPr="00092F4D">
        <w:rPr>
          <w:rFonts w:ascii="Times New Roman" w:hAnsi="Times New Roman" w:cs="Times New Roman"/>
          <w:color w:val="000000" w:themeColor="text1"/>
        </w:rPr>
        <w:t>Haridusasutuste remondid</w:t>
      </w:r>
      <w:r w:rsidR="00C756DF" w:rsidRPr="00092F4D">
        <w:rPr>
          <w:rFonts w:ascii="Times New Roman" w:hAnsi="Times New Roman" w:cs="Times New Roman"/>
          <w:color w:val="000000" w:themeColor="text1"/>
        </w:rPr>
        <w:t>.</w:t>
      </w:r>
    </w:p>
    <w:p w14:paraId="739F72A3" w14:textId="5D6E9604" w:rsidR="00897B89" w:rsidRPr="00092F4D" w:rsidRDefault="00897B89" w:rsidP="00897B89">
      <w:pPr>
        <w:jc w:val="both"/>
        <w:rPr>
          <w:rFonts w:ascii="Times New Roman" w:hAnsi="Times New Roman" w:cs="Times New Roman"/>
          <w:color w:val="000000" w:themeColor="text1"/>
        </w:rPr>
      </w:pPr>
      <w:r w:rsidRPr="00092F4D">
        <w:rPr>
          <w:rFonts w:ascii="Times New Roman" w:hAnsi="Times New Roman" w:cs="Times New Roman"/>
        </w:rPr>
        <w:t xml:space="preserve">Vald kinnitas oma prioriteedid 2021. aastaks </w:t>
      </w:r>
      <w:hyperlink r:id="rId8" w:history="1">
        <w:r w:rsidRPr="00092F4D">
          <w:rPr>
            <w:rStyle w:val="Hyperlink"/>
            <w:rFonts w:ascii="Times New Roman" w:hAnsi="Times New Roman" w:cs="Times New Roman"/>
          </w:rPr>
          <w:t>eelarvestrateegias 2021-2024</w:t>
        </w:r>
      </w:hyperlink>
      <w:r w:rsidRPr="00092F4D">
        <w:rPr>
          <w:rStyle w:val="Hyperlink"/>
          <w:rFonts w:ascii="Times New Roman" w:hAnsi="Times New Roman" w:cs="Times New Roman"/>
        </w:rPr>
        <w:t xml:space="preserve"> </w:t>
      </w:r>
      <w:r w:rsidRPr="00092F4D">
        <w:rPr>
          <w:rFonts w:ascii="Times New Roman" w:hAnsi="Times New Roman" w:cs="Times New Roman"/>
        </w:rPr>
        <w:t>,</w:t>
      </w:r>
      <w:r w:rsidRPr="00092F4D">
        <w:rPr>
          <w:rFonts w:ascii="Times New Roman" w:hAnsi="Times New Roman" w:cs="Times New Roman"/>
          <w:color w:val="548DD4" w:themeColor="text2" w:themeTint="99"/>
        </w:rPr>
        <w:t xml:space="preserve"> </w:t>
      </w:r>
      <w:r w:rsidRPr="00092F4D">
        <w:rPr>
          <w:rFonts w:ascii="Times New Roman" w:hAnsi="Times New Roman" w:cs="Times New Roman"/>
        </w:rPr>
        <w:t>mis võeti vastu 2020. aasta novembris.</w:t>
      </w:r>
    </w:p>
    <w:p w14:paraId="5ED17B27" w14:textId="77777777" w:rsidR="00682013" w:rsidRPr="00CC3B8E" w:rsidRDefault="00682013" w:rsidP="005030C7">
      <w:pPr>
        <w:pStyle w:val="Pealkiri1"/>
        <w:spacing w:line="240" w:lineRule="auto"/>
        <w:contextualSpacing/>
        <w:jc w:val="both"/>
        <w:rPr>
          <w:rFonts w:ascii="Times New Roman" w:hAnsi="Times New Roman" w:cs="Times New Roman"/>
        </w:rPr>
      </w:pPr>
      <w:r w:rsidRPr="00CC3B8E">
        <w:rPr>
          <w:rFonts w:ascii="Times New Roman" w:hAnsi="Times New Roman" w:cs="Times New Roman"/>
        </w:rPr>
        <w:t>Põhitegevuse tulud</w:t>
      </w:r>
      <w:r w:rsidR="00514C14" w:rsidRPr="00CC3B8E">
        <w:rPr>
          <w:rStyle w:val="FootnoteReference"/>
          <w:rFonts w:ascii="Times New Roman" w:hAnsi="Times New Roman" w:cs="Times New Roman"/>
        </w:rPr>
        <w:footnoteReference w:id="1"/>
      </w:r>
    </w:p>
    <w:p w14:paraId="256E6FFF" w14:textId="77777777" w:rsidR="00DA00D5" w:rsidRPr="00685E8F" w:rsidRDefault="00DA00D5" w:rsidP="005030C7">
      <w:pPr>
        <w:pStyle w:val="Pealkiri1"/>
        <w:spacing w:line="240" w:lineRule="auto"/>
        <w:contextualSpacing/>
        <w:jc w:val="both"/>
        <w:rPr>
          <w:rFonts w:ascii="Times New Roman" w:hAnsi="Times New Roman" w:cs="Times New Roman"/>
        </w:rPr>
      </w:pPr>
    </w:p>
    <w:p w14:paraId="18CB4189" w14:textId="44786BE6" w:rsidR="00682013" w:rsidRPr="00092F4D" w:rsidRDefault="00682013" w:rsidP="005030C7">
      <w:pPr>
        <w:contextualSpacing/>
        <w:jc w:val="both"/>
        <w:rPr>
          <w:rFonts w:ascii="Times New Roman" w:hAnsi="Times New Roman" w:cs="Times New Roman"/>
          <w:b/>
        </w:rPr>
      </w:pPr>
      <w:r w:rsidRPr="00092F4D">
        <w:rPr>
          <w:rFonts w:ascii="Times New Roman" w:hAnsi="Times New Roman" w:cs="Times New Roman"/>
          <w:b/>
        </w:rPr>
        <w:t>20</w:t>
      </w:r>
      <w:r w:rsidR="0073261F" w:rsidRPr="00092F4D">
        <w:rPr>
          <w:rFonts w:ascii="Times New Roman" w:hAnsi="Times New Roman" w:cs="Times New Roman"/>
          <w:b/>
        </w:rPr>
        <w:t>2</w:t>
      </w:r>
      <w:r w:rsidR="00352537" w:rsidRPr="00092F4D">
        <w:rPr>
          <w:rFonts w:ascii="Times New Roman" w:hAnsi="Times New Roman" w:cs="Times New Roman"/>
          <w:b/>
        </w:rPr>
        <w:t>1</w:t>
      </w:r>
      <w:r w:rsidRPr="00092F4D">
        <w:rPr>
          <w:rFonts w:ascii="Times New Roman" w:hAnsi="Times New Roman" w:cs="Times New Roman"/>
          <w:b/>
        </w:rPr>
        <w:t>.</w:t>
      </w:r>
      <w:r w:rsidR="003B0467" w:rsidRPr="00092F4D">
        <w:rPr>
          <w:rFonts w:ascii="Times New Roman" w:hAnsi="Times New Roman" w:cs="Times New Roman"/>
          <w:b/>
        </w:rPr>
        <w:t xml:space="preserve"> </w:t>
      </w:r>
      <w:r w:rsidRPr="00092F4D">
        <w:rPr>
          <w:rFonts w:ascii="Times New Roman" w:hAnsi="Times New Roman" w:cs="Times New Roman"/>
          <w:b/>
        </w:rPr>
        <w:t xml:space="preserve">aasta eelarves on planeeritud </w:t>
      </w:r>
      <w:r w:rsidR="00F143C6" w:rsidRPr="00092F4D">
        <w:rPr>
          <w:rFonts w:ascii="Times New Roman" w:hAnsi="Times New Roman" w:cs="Times New Roman"/>
          <w:b/>
        </w:rPr>
        <w:t xml:space="preserve">põhitegevuse </w:t>
      </w:r>
      <w:r w:rsidRPr="00092F4D">
        <w:rPr>
          <w:rFonts w:ascii="Times New Roman" w:hAnsi="Times New Roman" w:cs="Times New Roman"/>
          <w:b/>
        </w:rPr>
        <w:t>tulu</w:t>
      </w:r>
      <w:r w:rsidR="003B0467" w:rsidRPr="00092F4D">
        <w:rPr>
          <w:rFonts w:ascii="Times New Roman" w:hAnsi="Times New Roman" w:cs="Times New Roman"/>
          <w:b/>
        </w:rPr>
        <w:t>d</w:t>
      </w:r>
      <w:r w:rsidRPr="00092F4D">
        <w:rPr>
          <w:rFonts w:ascii="Times New Roman" w:hAnsi="Times New Roman" w:cs="Times New Roman"/>
          <w:b/>
        </w:rPr>
        <w:t xml:space="preserve"> </w:t>
      </w:r>
      <w:r w:rsidR="0073261F" w:rsidRPr="00092F4D">
        <w:rPr>
          <w:rFonts w:ascii="Times New Roman" w:hAnsi="Times New Roman" w:cs="Times New Roman"/>
          <w:b/>
        </w:rPr>
        <w:t>12,</w:t>
      </w:r>
      <w:r w:rsidR="00C756DF" w:rsidRPr="00092F4D">
        <w:rPr>
          <w:rFonts w:ascii="Times New Roman" w:hAnsi="Times New Roman" w:cs="Times New Roman"/>
          <w:b/>
        </w:rPr>
        <w:t xml:space="preserve">5 </w:t>
      </w:r>
      <w:r w:rsidRPr="00092F4D">
        <w:rPr>
          <w:rFonts w:ascii="Times New Roman" w:hAnsi="Times New Roman" w:cs="Times New Roman"/>
          <w:b/>
        </w:rPr>
        <w:t xml:space="preserve">miljonit eurot. See on </w:t>
      </w:r>
      <w:r w:rsidR="00352537" w:rsidRPr="00092F4D">
        <w:rPr>
          <w:rFonts w:ascii="Times New Roman" w:hAnsi="Times New Roman" w:cs="Times New Roman"/>
          <w:b/>
        </w:rPr>
        <w:t xml:space="preserve">sama kui 2020.a eelarves. </w:t>
      </w:r>
      <w:r w:rsidR="00993454" w:rsidRPr="00092F4D">
        <w:rPr>
          <w:rFonts w:ascii="Times New Roman" w:hAnsi="Times New Roman" w:cs="Times New Roman"/>
          <w:b/>
        </w:rPr>
        <w:t xml:space="preserve">2020.a. oleme saanud riigilt toetusi tegevuskuludeks 18,5% eelarves planeeritud tuludest rohkem ja sellest tulenevalt on põhitegevuse tulud 2020.a. 3,5% suuremad eelarves planeeritud tuludest. </w:t>
      </w:r>
    </w:p>
    <w:p w14:paraId="489DEB94" w14:textId="130F933D" w:rsidR="00682013" w:rsidRPr="00092F4D" w:rsidRDefault="00682013" w:rsidP="005030C7">
      <w:pPr>
        <w:pStyle w:val="ListParagraph"/>
        <w:numPr>
          <w:ilvl w:val="0"/>
          <w:numId w:val="2"/>
        </w:numPr>
        <w:jc w:val="both"/>
        <w:rPr>
          <w:rFonts w:ascii="Times New Roman" w:hAnsi="Times New Roman" w:cs="Times New Roman"/>
          <w:color w:val="000000" w:themeColor="text1"/>
        </w:rPr>
      </w:pPr>
      <w:r w:rsidRPr="00092F4D">
        <w:rPr>
          <w:rFonts w:ascii="Times New Roman" w:hAnsi="Times New Roman" w:cs="Times New Roman"/>
          <w:color w:val="000000" w:themeColor="text1"/>
        </w:rPr>
        <w:t xml:space="preserve">Eelarve tuludest </w:t>
      </w:r>
      <w:r w:rsidR="0073261F" w:rsidRPr="00092F4D">
        <w:rPr>
          <w:rFonts w:ascii="Times New Roman" w:hAnsi="Times New Roman" w:cs="Times New Roman"/>
          <w:color w:val="000000" w:themeColor="text1"/>
        </w:rPr>
        <w:t>6</w:t>
      </w:r>
      <w:r w:rsidR="00993454" w:rsidRPr="00092F4D">
        <w:rPr>
          <w:rFonts w:ascii="Times New Roman" w:hAnsi="Times New Roman" w:cs="Times New Roman"/>
          <w:color w:val="000000" w:themeColor="text1"/>
        </w:rPr>
        <w:t>6</w:t>
      </w:r>
      <w:r w:rsidRPr="00092F4D">
        <w:rPr>
          <w:rFonts w:ascii="Times New Roman" w:hAnsi="Times New Roman" w:cs="Times New Roman"/>
          <w:color w:val="000000" w:themeColor="text1"/>
        </w:rPr>
        <w:t xml:space="preserve">% ehk </w:t>
      </w:r>
      <w:r w:rsidR="0073261F" w:rsidRPr="00092F4D">
        <w:rPr>
          <w:rFonts w:ascii="Times New Roman" w:hAnsi="Times New Roman" w:cs="Times New Roman"/>
          <w:color w:val="000000" w:themeColor="text1"/>
        </w:rPr>
        <w:t>8</w:t>
      </w:r>
      <w:r w:rsidR="00993454" w:rsidRPr="00092F4D">
        <w:rPr>
          <w:rFonts w:ascii="Times New Roman" w:hAnsi="Times New Roman" w:cs="Times New Roman"/>
          <w:color w:val="000000" w:themeColor="text1"/>
        </w:rPr>
        <w:t>,3</w:t>
      </w:r>
      <w:r w:rsidRPr="00092F4D">
        <w:rPr>
          <w:rFonts w:ascii="Times New Roman" w:hAnsi="Times New Roman" w:cs="Times New Roman"/>
          <w:color w:val="000000" w:themeColor="text1"/>
        </w:rPr>
        <w:t xml:space="preserve"> miljonit moodustab </w:t>
      </w:r>
      <w:r w:rsidR="00993454" w:rsidRPr="00092F4D">
        <w:rPr>
          <w:rFonts w:ascii="Times New Roman" w:hAnsi="Times New Roman" w:cs="Times New Roman"/>
          <w:color w:val="000000" w:themeColor="text1"/>
        </w:rPr>
        <w:t>maksutulu</w:t>
      </w:r>
      <w:r w:rsidRPr="00092F4D">
        <w:rPr>
          <w:rFonts w:ascii="Times New Roman" w:hAnsi="Times New Roman" w:cs="Times New Roman"/>
          <w:color w:val="000000" w:themeColor="text1"/>
        </w:rPr>
        <w:t xml:space="preserve"> (</w:t>
      </w:r>
      <w:r w:rsidR="00C4422F" w:rsidRPr="00092F4D">
        <w:rPr>
          <w:rFonts w:ascii="Times New Roman" w:hAnsi="Times New Roman" w:cs="Times New Roman"/>
          <w:color w:val="000000" w:themeColor="text1"/>
        </w:rPr>
        <w:t xml:space="preserve">võrreldes eelmise aastaga kasv </w:t>
      </w:r>
      <w:r w:rsidRPr="00092F4D">
        <w:rPr>
          <w:rFonts w:ascii="Times New Roman" w:hAnsi="Times New Roman" w:cs="Times New Roman"/>
          <w:color w:val="000000" w:themeColor="text1"/>
        </w:rPr>
        <w:t>+</w:t>
      </w:r>
      <w:r w:rsidR="008505DD" w:rsidRPr="00092F4D">
        <w:rPr>
          <w:rFonts w:ascii="Times New Roman" w:hAnsi="Times New Roman" w:cs="Times New Roman"/>
          <w:color w:val="000000" w:themeColor="text1"/>
        </w:rPr>
        <w:t>6,6</w:t>
      </w:r>
      <w:r w:rsidRPr="00092F4D">
        <w:rPr>
          <w:rFonts w:ascii="Times New Roman" w:hAnsi="Times New Roman" w:cs="Times New Roman"/>
          <w:color w:val="000000" w:themeColor="text1"/>
        </w:rPr>
        <w:t>%)</w:t>
      </w:r>
      <w:r w:rsidRPr="00092F4D">
        <w:rPr>
          <w:rStyle w:val="FootnoteReference"/>
          <w:rFonts w:ascii="Times New Roman" w:hAnsi="Times New Roman" w:cs="Times New Roman"/>
          <w:color w:val="000000" w:themeColor="text1"/>
        </w:rPr>
        <w:footnoteReference w:id="2"/>
      </w:r>
      <w:r w:rsidR="00CB03A9" w:rsidRPr="00092F4D">
        <w:rPr>
          <w:rFonts w:ascii="Times New Roman" w:hAnsi="Times New Roman" w:cs="Times New Roman"/>
          <w:color w:val="000000" w:themeColor="text1"/>
        </w:rPr>
        <w:t xml:space="preserve">. </w:t>
      </w:r>
      <w:r w:rsidR="008505DD" w:rsidRPr="00092F4D">
        <w:rPr>
          <w:rFonts w:ascii="Times New Roman" w:hAnsi="Times New Roman" w:cs="Times New Roman"/>
          <w:color w:val="000000" w:themeColor="text1"/>
        </w:rPr>
        <w:t>Füüsilise isiku tulumaksu laekumise kasvu on kavandatud 5%, mis on tingitud valla elanike arvu kasvuga. 2021.a. on kohalikele omavalitsustele eraldatav tulumaksu osa 11,96% Kohila valla elanike töötasu brutotulust.</w:t>
      </w:r>
    </w:p>
    <w:p w14:paraId="6D635931" w14:textId="4438716F" w:rsidR="00682013" w:rsidRPr="00092F4D" w:rsidRDefault="00682013" w:rsidP="005030C7">
      <w:pPr>
        <w:pStyle w:val="ListParagraph"/>
        <w:numPr>
          <w:ilvl w:val="0"/>
          <w:numId w:val="2"/>
        </w:numPr>
        <w:jc w:val="both"/>
        <w:rPr>
          <w:rFonts w:ascii="Times New Roman" w:hAnsi="Times New Roman" w:cs="Times New Roman"/>
          <w:color w:val="000000" w:themeColor="text1"/>
        </w:rPr>
      </w:pPr>
      <w:r w:rsidRPr="00092F4D">
        <w:rPr>
          <w:rFonts w:ascii="Times New Roman" w:hAnsi="Times New Roman" w:cs="Times New Roman"/>
          <w:color w:val="000000" w:themeColor="text1"/>
        </w:rPr>
        <w:t xml:space="preserve">Kaupade ja teenuste müügist kogutakse eelarvesse </w:t>
      </w:r>
      <w:r w:rsidR="00DA65D1" w:rsidRPr="00092F4D">
        <w:rPr>
          <w:rFonts w:ascii="Times New Roman" w:hAnsi="Times New Roman" w:cs="Times New Roman"/>
          <w:color w:val="000000" w:themeColor="text1"/>
        </w:rPr>
        <w:t>5</w:t>
      </w:r>
      <w:r w:rsidRPr="00092F4D">
        <w:rPr>
          <w:rFonts w:ascii="Times New Roman" w:hAnsi="Times New Roman" w:cs="Times New Roman"/>
          <w:color w:val="000000" w:themeColor="text1"/>
        </w:rPr>
        <w:t xml:space="preserve">% </w:t>
      </w:r>
      <w:r w:rsidR="008505DD" w:rsidRPr="00092F4D">
        <w:rPr>
          <w:rFonts w:ascii="Times New Roman" w:hAnsi="Times New Roman" w:cs="Times New Roman"/>
          <w:color w:val="000000" w:themeColor="text1"/>
        </w:rPr>
        <w:t xml:space="preserve"> </w:t>
      </w:r>
      <w:r w:rsidRPr="00092F4D">
        <w:rPr>
          <w:rFonts w:ascii="Times New Roman" w:hAnsi="Times New Roman" w:cs="Times New Roman"/>
          <w:color w:val="000000" w:themeColor="text1"/>
        </w:rPr>
        <w:t xml:space="preserve">ehk </w:t>
      </w:r>
      <w:r w:rsidR="000B2CE0" w:rsidRPr="00092F4D">
        <w:rPr>
          <w:rFonts w:ascii="Times New Roman" w:hAnsi="Times New Roman" w:cs="Times New Roman"/>
          <w:color w:val="000000" w:themeColor="text1"/>
        </w:rPr>
        <w:t>0,</w:t>
      </w:r>
      <w:r w:rsidR="008505DD" w:rsidRPr="00092F4D">
        <w:rPr>
          <w:rFonts w:ascii="Times New Roman" w:hAnsi="Times New Roman" w:cs="Times New Roman"/>
          <w:color w:val="000000" w:themeColor="text1"/>
        </w:rPr>
        <w:t>6</w:t>
      </w:r>
      <w:r w:rsidRPr="00092F4D">
        <w:rPr>
          <w:rFonts w:ascii="Times New Roman" w:hAnsi="Times New Roman" w:cs="Times New Roman"/>
          <w:color w:val="000000" w:themeColor="text1"/>
        </w:rPr>
        <w:t xml:space="preserve"> miljonit eurot</w:t>
      </w:r>
      <w:r w:rsidR="00020C0C" w:rsidRPr="00092F4D">
        <w:rPr>
          <w:rFonts w:ascii="Times New Roman" w:hAnsi="Times New Roman" w:cs="Times New Roman"/>
          <w:color w:val="000000" w:themeColor="text1"/>
        </w:rPr>
        <w:t xml:space="preserve">. (muutus 0%). </w:t>
      </w:r>
      <w:r w:rsidR="00020C0C" w:rsidRPr="00092F4D">
        <w:rPr>
          <w:rFonts w:ascii="Times New Roman" w:eastAsia="Calibri" w:hAnsi="Times New Roman" w:cs="Times New Roman"/>
        </w:rPr>
        <w:t>Lasteaedade kohamaks, mis on seotud riiklikult kehtestatud töötasu alammääraga jääb samaks mis 2020 aastal. (2020. a 584 eurot kuus, kohamaks 58,40 eurot). Alates 1.jaanurist 2021, peres kus kasvab kolm või enam lapsetoetust saavat last, kolmanda ja enama lapse eest vanem koolieelse lasteasutuse kohatasu maksma ei pea.  Samuti kehtivad soodustused pere teisele lasteaias käivale lapsele ja toetused majanduslikult raskes olukorras olevatele peredele.</w:t>
      </w:r>
    </w:p>
    <w:p w14:paraId="17619122" w14:textId="42CA832C" w:rsidR="00616F01" w:rsidRPr="00092F4D" w:rsidRDefault="00682013" w:rsidP="00E90ABC">
      <w:pPr>
        <w:pStyle w:val="ListParagraph"/>
        <w:numPr>
          <w:ilvl w:val="0"/>
          <w:numId w:val="2"/>
        </w:numPr>
        <w:jc w:val="both"/>
        <w:rPr>
          <w:rFonts w:ascii="Times New Roman" w:hAnsi="Times New Roman" w:cs="Times New Roman"/>
          <w:color w:val="000000" w:themeColor="text1"/>
        </w:rPr>
      </w:pPr>
      <w:r w:rsidRPr="00092F4D">
        <w:rPr>
          <w:rFonts w:ascii="Times New Roman" w:hAnsi="Times New Roman" w:cs="Times New Roman"/>
          <w:color w:val="000000" w:themeColor="text1"/>
        </w:rPr>
        <w:t xml:space="preserve">Saadud toetused moodustavad eelarve tuludest </w:t>
      </w:r>
      <w:r w:rsidR="00076B23" w:rsidRPr="00092F4D">
        <w:rPr>
          <w:rFonts w:ascii="Times New Roman" w:hAnsi="Times New Roman" w:cs="Times New Roman"/>
          <w:color w:val="000000" w:themeColor="text1"/>
        </w:rPr>
        <w:t>28</w:t>
      </w:r>
      <w:r w:rsidRPr="00092F4D">
        <w:rPr>
          <w:rFonts w:ascii="Times New Roman" w:hAnsi="Times New Roman" w:cs="Times New Roman"/>
          <w:color w:val="000000" w:themeColor="text1"/>
        </w:rPr>
        <w:t xml:space="preserve">%, ulatudes </w:t>
      </w:r>
      <w:r w:rsidR="00076B23" w:rsidRPr="00092F4D">
        <w:rPr>
          <w:rFonts w:ascii="Times New Roman" w:hAnsi="Times New Roman" w:cs="Times New Roman"/>
          <w:color w:val="000000" w:themeColor="text1"/>
        </w:rPr>
        <w:t>3,</w:t>
      </w:r>
      <w:r w:rsidR="00EE6464" w:rsidRPr="00092F4D">
        <w:rPr>
          <w:rFonts w:ascii="Times New Roman" w:hAnsi="Times New Roman" w:cs="Times New Roman"/>
          <w:color w:val="000000" w:themeColor="text1"/>
        </w:rPr>
        <w:t>5</w:t>
      </w:r>
      <w:r w:rsidR="00CB03A9" w:rsidRPr="00092F4D">
        <w:rPr>
          <w:rFonts w:ascii="Times New Roman" w:hAnsi="Times New Roman" w:cs="Times New Roman"/>
          <w:color w:val="000000" w:themeColor="text1"/>
        </w:rPr>
        <w:t xml:space="preserve"> miljoni euroni (</w:t>
      </w:r>
      <w:r w:rsidR="009A544D" w:rsidRPr="00092F4D">
        <w:rPr>
          <w:rFonts w:ascii="Times New Roman" w:hAnsi="Times New Roman" w:cs="Times New Roman"/>
          <w:color w:val="000000" w:themeColor="text1"/>
        </w:rPr>
        <w:t>-21</w:t>
      </w:r>
      <w:r w:rsidR="00616F01" w:rsidRPr="00092F4D">
        <w:rPr>
          <w:rFonts w:ascii="Times New Roman" w:hAnsi="Times New Roman" w:cs="Times New Roman"/>
          <w:color w:val="000000" w:themeColor="text1"/>
        </w:rPr>
        <w:t>%)</w:t>
      </w:r>
      <w:r w:rsidRPr="00092F4D">
        <w:rPr>
          <w:rFonts w:ascii="Times New Roman" w:hAnsi="Times New Roman" w:cs="Times New Roman"/>
          <w:color w:val="000000" w:themeColor="text1"/>
        </w:rPr>
        <w:t xml:space="preserve">. </w:t>
      </w:r>
      <w:r w:rsidR="009A544D" w:rsidRPr="00092F4D">
        <w:rPr>
          <w:rFonts w:ascii="Times New Roman" w:hAnsi="Times New Roman" w:cs="Times New Roman"/>
          <w:color w:val="000000" w:themeColor="text1"/>
        </w:rPr>
        <w:t>2020.a said kohalikud omavalitsused  covid-19 eriolukorras lisatoetust riigi toetusfondist.</w:t>
      </w:r>
    </w:p>
    <w:p w14:paraId="28AF2034" w14:textId="3B9192EB" w:rsidR="00A43AA3" w:rsidRPr="00092F4D" w:rsidRDefault="00682013" w:rsidP="00ED3C66">
      <w:pPr>
        <w:pStyle w:val="ListParagraph"/>
        <w:numPr>
          <w:ilvl w:val="0"/>
          <w:numId w:val="2"/>
        </w:numPr>
        <w:jc w:val="both"/>
        <w:rPr>
          <w:rFonts w:ascii="Times New Roman" w:hAnsi="Times New Roman" w:cs="Times New Roman"/>
        </w:rPr>
      </w:pPr>
      <w:r w:rsidRPr="00092F4D">
        <w:rPr>
          <w:rFonts w:ascii="Times New Roman" w:hAnsi="Times New Roman" w:cs="Times New Roman"/>
          <w:color w:val="000000" w:themeColor="text1"/>
        </w:rPr>
        <w:t>Muud tulud (</w:t>
      </w:r>
      <w:r w:rsidR="00ED3C66" w:rsidRPr="00092F4D">
        <w:rPr>
          <w:rFonts w:ascii="Times New Roman" w:hAnsi="Times New Roman" w:cs="Times New Roman"/>
          <w:color w:val="000000" w:themeColor="text1"/>
        </w:rPr>
        <w:t>ressur</w:t>
      </w:r>
      <w:r w:rsidR="00D40C83" w:rsidRPr="00092F4D">
        <w:rPr>
          <w:rFonts w:ascii="Times New Roman" w:hAnsi="Times New Roman" w:cs="Times New Roman"/>
          <w:color w:val="000000" w:themeColor="text1"/>
        </w:rPr>
        <w:t>si</w:t>
      </w:r>
      <w:r w:rsidR="00ED3C66" w:rsidRPr="00092F4D">
        <w:rPr>
          <w:rFonts w:ascii="Times New Roman" w:hAnsi="Times New Roman" w:cs="Times New Roman"/>
          <w:color w:val="000000" w:themeColor="text1"/>
        </w:rPr>
        <w:t xml:space="preserve">tasu vesi, kohaliku tähtsusega maardlate kaevandamistasu) </w:t>
      </w:r>
      <w:r w:rsidRPr="00092F4D">
        <w:rPr>
          <w:rFonts w:ascii="Times New Roman" w:hAnsi="Times New Roman" w:cs="Times New Roman"/>
          <w:color w:val="000000" w:themeColor="text1"/>
        </w:rPr>
        <w:t xml:space="preserve">moodustavad eelarve tuludest </w:t>
      </w:r>
      <w:r w:rsidR="009A544D" w:rsidRPr="00092F4D">
        <w:rPr>
          <w:rFonts w:ascii="Times New Roman" w:hAnsi="Times New Roman" w:cs="Times New Roman"/>
          <w:color w:val="000000" w:themeColor="text1"/>
        </w:rPr>
        <w:t>1</w:t>
      </w:r>
      <w:r w:rsidRPr="00092F4D">
        <w:rPr>
          <w:rFonts w:ascii="Times New Roman" w:hAnsi="Times New Roman" w:cs="Times New Roman"/>
          <w:color w:val="000000" w:themeColor="text1"/>
        </w:rPr>
        <w:t xml:space="preserve">% </w:t>
      </w:r>
      <w:r w:rsidR="00ED3C66" w:rsidRPr="00092F4D">
        <w:rPr>
          <w:rFonts w:ascii="Times New Roman" w:hAnsi="Times New Roman" w:cs="Times New Roman"/>
          <w:color w:val="000000" w:themeColor="text1"/>
        </w:rPr>
        <w:t>.</w:t>
      </w:r>
    </w:p>
    <w:p w14:paraId="08C9D939" w14:textId="429F0758" w:rsidR="00C756DF" w:rsidRDefault="00C756DF" w:rsidP="00A43AA3">
      <w:pPr>
        <w:pStyle w:val="ListParagraph"/>
        <w:jc w:val="both"/>
        <w:rPr>
          <w:rFonts w:ascii="Times New Roman" w:hAnsi="Times New Roman" w:cs="Times New Roman"/>
        </w:rPr>
      </w:pPr>
    </w:p>
    <w:p w14:paraId="6DD01764" w14:textId="77777777" w:rsidR="009D5D96" w:rsidRDefault="00352537" w:rsidP="009D5D96">
      <w:pPr>
        <w:pStyle w:val="ListParagraph"/>
        <w:spacing w:after="0"/>
        <w:jc w:val="both"/>
        <w:rPr>
          <w:rStyle w:val="JoonisChar"/>
          <w:b w:val="0"/>
          <w:bCs w:val="0"/>
          <w:color w:val="auto"/>
        </w:rPr>
      </w:pPr>
      <w:r>
        <w:rPr>
          <w:noProof/>
        </w:rPr>
        <w:lastRenderedPageBreak/>
        <w:drawing>
          <wp:inline distT="0" distB="0" distL="0" distR="0" wp14:anchorId="3D5EB38C" wp14:editId="58FF88B5">
            <wp:extent cx="5021580" cy="2817495"/>
            <wp:effectExtent l="0" t="0" r="7620" b="1905"/>
            <wp:docPr id="2" name="Chart 2">
              <a:extLst xmlns:a="http://schemas.openxmlformats.org/drawingml/2006/main">
                <a:ext uri="{FF2B5EF4-FFF2-40B4-BE49-F238E27FC236}">
                  <a16:creationId xmlns:a16="http://schemas.microsoft.com/office/drawing/2014/main" id="{FF0AAE24-E0FB-4C9F-A3CD-B57458FD4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7E5DD5" w14:textId="77777777" w:rsidR="009D5D96" w:rsidRDefault="00352537" w:rsidP="009D5D96">
      <w:pPr>
        <w:pStyle w:val="Joonis"/>
        <w:ind w:firstLine="708"/>
      </w:pPr>
      <w:r w:rsidRPr="009D5D96">
        <w:rPr>
          <w:rStyle w:val="JoonisChar"/>
          <w:b/>
          <w:bCs/>
        </w:rPr>
        <w:t>Joonis 1 Põhitegevuse</w:t>
      </w:r>
      <w:r w:rsidRPr="009D5D96">
        <w:t xml:space="preserve"> tulud 2021.a.</w:t>
      </w:r>
    </w:p>
    <w:p w14:paraId="3FE2F690" w14:textId="77777777" w:rsidR="00092F4D" w:rsidRDefault="00092F4D" w:rsidP="009D5D96">
      <w:pPr>
        <w:pStyle w:val="Joonis"/>
        <w:rPr>
          <w:rFonts w:ascii="Times New Roman" w:hAnsi="Times New Roman" w:cs="Times New Roman"/>
          <w:color w:val="548DD4" w:themeColor="text2" w:themeTint="99"/>
          <w:sz w:val="24"/>
          <w:szCs w:val="24"/>
        </w:rPr>
      </w:pPr>
    </w:p>
    <w:p w14:paraId="2548AE1B" w14:textId="0119C9C2" w:rsidR="00897B89" w:rsidRPr="00092F4D" w:rsidRDefault="00F143C6" w:rsidP="009D5D96">
      <w:pPr>
        <w:pStyle w:val="Joonis"/>
        <w:rPr>
          <w:rFonts w:ascii="Times New Roman" w:hAnsi="Times New Roman" w:cs="Times New Roman"/>
          <w:color w:val="548DD4" w:themeColor="text2" w:themeTint="99"/>
          <w:sz w:val="24"/>
          <w:szCs w:val="24"/>
        </w:rPr>
      </w:pPr>
      <w:r w:rsidRPr="00CC3B8E">
        <w:rPr>
          <w:rFonts w:ascii="Times New Roman" w:hAnsi="Times New Roman" w:cs="Times New Roman"/>
          <w:color w:val="548DD4" w:themeColor="text2" w:themeTint="99"/>
          <w:sz w:val="24"/>
          <w:szCs w:val="24"/>
        </w:rPr>
        <w:t>Põhitegevuse kulud</w:t>
      </w:r>
      <w:r w:rsidR="00795E1E" w:rsidRPr="00CC3B8E">
        <w:rPr>
          <w:rFonts w:ascii="Times New Roman" w:hAnsi="Times New Roman" w:cs="Times New Roman"/>
          <w:color w:val="548DD4" w:themeColor="text2" w:themeTint="99"/>
          <w:sz w:val="24"/>
          <w:szCs w:val="24"/>
        </w:rPr>
        <w:t xml:space="preserve"> </w:t>
      </w:r>
    </w:p>
    <w:p w14:paraId="1DE14E74" w14:textId="7A07C751" w:rsidR="00F143C6" w:rsidRPr="00092F4D" w:rsidRDefault="00F143C6" w:rsidP="005030C7">
      <w:pPr>
        <w:contextualSpacing/>
        <w:jc w:val="both"/>
        <w:rPr>
          <w:rFonts w:ascii="Times New Roman" w:hAnsi="Times New Roman" w:cs="Times New Roman"/>
          <w:b/>
        </w:rPr>
      </w:pPr>
      <w:r w:rsidRPr="00092F4D">
        <w:rPr>
          <w:rFonts w:ascii="Times New Roman" w:hAnsi="Times New Roman" w:cs="Times New Roman"/>
          <w:b/>
        </w:rPr>
        <w:t>20</w:t>
      </w:r>
      <w:r w:rsidR="00795E1E" w:rsidRPr="00092F4D">
        <w:rPr>
          <w:rFonts w:ascii="Times New Roman" w:hAnsi="Times New Roman" w:cs="Times New Roman"/>
          <w:b/>
        </w:rPr>
        <w:t>2</w:t>
      </w:r>
      <w:r w:rsidR="00FF7824" w:rsidRPr="00092F4D">
        <w:rPr>
          <w:rFonts w:ascii="Times New Roman" w:hAnsi="Times New Roman" w:cs="Times New Roman"/>
          <w:b/>
        </w:rPr>
        <w:t>1</w:t>
      </w:r>
      <w:r w:rsidRPr="00092F4D">
        <w:rPr>
          <w:rFonts w:ascii="Times New Roman" w:hAnsi="Times New Roman" w:cs="Times New Roman"/>
          <w:b/>
        </w:rPr>
        <w:t>. aasta eelarves on planeeritud põhitegevuse kulu</w:t>
      </w:r>
      <w:r w:rsidR="00713F37" w:rsidRPr="00092F4D">
        <w:rPr>
          <w:rFonts w:ascii="Times New Roman" w:hAnsi="Times New Roman" w:cs="Times New Roman"/>
          <w:b/>
        </w:rPr>
        <w:t>si</w:t>
      </w:r>
      <w:r w:rsidRPr="00092F4D">
        <w:rPr>
          <w:rFonts w:ascii="Times New Roman" w:hAnsi="Times New Roman" w:cs="Times New Roman"/>
          <w:b/>
        </w:rPr>
        <w:t>d</w:t>
      </w:r>
      <w:r w:rsidR="00916601" w:rsidRPr="00092F4D">
        <w:rPr>
          <w:rFonts w:ascii="Times New Roman" w:hAnsi="Times New Roman" w:cs="Times New Roman"/>
          <w:b/>
        </w:rPr>
        <w:t xml:space="preserve"> </w:t>
      </w:r>
      <w:r w:rsidR="00795E1E" w:rsidRPr="00092F4D">
        <w:rPr>
          <w:rFonts w:ascii="Times New Roman" w:hAnsi="Times New Roman" w:cs="Times New Roman"/>
          <w:b/>
        </w:rPr>
        <w:t>1</w:t>
      </w:r>
      <w:r w:rsidR="00FF7824" w:rsidRPr="00092F4D">
        <w:rPr>
          <w:rFonts w:ascii="Times New Roman" w:hAnsi="Times New Roman" w:cs="Times New Roman"/>
          <w:b/>
        </w:rPr>
        <w:t>2</w:t>
      </w:r>
      <w:r w:rsidR="00651571" w:rsidRPr="00092F4D">
        <w:rPr>
          <w:rFonts w:ascii="Times New Roman" w:hAnsi="Times New Roman" w:cs="Times New Roman"/>
          <w:b/>
        </w:rPr>
        <w:t xml:space="preserve"> </w:t>
      </w:r>
      <w:r w:rsidRPr="00092F4D">
        <w:rPr>
          <w:rFonts w:ascii="Times New Roman" w:hAnsi="Times New Roman" w:cs="Times New Roman"/>
          <w:b/>
        </w:rPr>
        <w:t>miljonit eurot</w:t>
      </w:r>
      <w:r w:rsidR="00E04BBC" w:rsidRPr="00092F4D">
        <w:rPr>
          <w:rFonts w:ascii="Times New Roman" w:hAnsi="Times New Roman" w:cs="Times New Roman"/>
          <w:b/>
        </w:rPr>
        <w:t>, sellest toetusteks 1,1 miljon eurot ja muudeks tegevuskuludeks 10,9 miljonit eurot.</w:t>
      </w:r>
      <w:r w:rsidRPr="00092F4D">
        <w:rPr>
          <w:rFonts w:ascii="Times New Roman" w:hAnsi="Times New Roman" w:cs="Times New Roman"/>
          <w:b/>
        </w:rPr>
        <w:t xml:space="preserve"> </w:t>
      </w:r>
    </w:p>
    <w:p w14:paraId="678B791A" w14:textId="77777777" w:rsidR="00CB6456" w:rsidRPr="00092F4D" w:rsidRDefault="00CB6456" w:rsidP="005030C7">
      <w:pPr>
        <w:contextualSpacing/>
        <w:jc w:val="both"/>
        <w:rPr>
          <w:rFonts w:ascii="Times New Roman" w:hAnsi="Times New Roman" w:cs="Times New Roman"/>
          <w:b/>
        </w:rPr>
      </w:pPr>
    </w:p>
    <w:p w14:paraId="6CB1C6CA" w14:textId="22AAC001" w:rsidR="00F143C6" w:rsidRPr="00092F4D" w:rsidRDefault="00F143C6" w:rsidP="005030C7">
      <w:pPr>
        <w:contextualSpacing/>
        <w:jc w:val="both"/>
        <w:rPr>
          <w:rFonts w:ascii="Times New Roman" w:hAnsi="Times New Roman" w:cs="Times New Roman"/>
        </w:rPr>
      </w:pPr>
      <w:r w:rsidRPr="00092F4D">
        <w:rPr>
          <w:rFonts w:ascii="Times New Roman" w:hAnsi="Times New Roman" w:cs="Times New Roman"/>
        </w:rPr>
        <w:t>Põhitegevuse kulud jaotuvad üheksa erineva valdkonna vahel, mis omakorda jagunevad majandusliku sisu alusel: majandamis- ja personalikulud</w:t>
      </w:r>
      <w:r w:rsidR="00D94FE9" w:rsidRPr="00092F4D">
        <w:rPr>
          <w:rFonts w:ascii="Times New Roman" w:hAnsi="Times New Roman" w:cs="Times New Roman"/>
        </w:rPr>
        <w:t xml:space="preserve"> ning toetusteks</w:t>
      </w:r>
      <w:r w:rsidRPr="00092F4D">
        <w:rPr>
          <w:rFonts w:ascii="Times New Roman" w:hAnsi="Times New Roman" w:cs="Times New Roman"/>
        </w:rPr>
        <w:t>.</w:t>
      </w:r>
    </w:p>
    <w:p w14:paraId="7B24263F" w14:textId="6BB29449" w:rsidR="004074AA" w:rsidRPr="00092F4D" w:rsidRDefault="00F143C6" w:rsidP="005647E9">
      <w:pPr>
        <w:pStyle w:val="ListParagraph"/>
        <w:numPr>
          <w:ilvl w:val="0"/>
          <w:numId w:val="5"/>
        </w:numPr>
        <w:jc w:val="both"/>
        <w:rPr>
          <w:rFonts w:ascii="Times New Roman" w:hAnsi="Times New Roman" w:cs="Times New Roman"/>
        </w:rPr>
      </w:pPr>
      <w:r w:rsidRPr="00092F4D">
        <w:rPr>
          <w:rFonts w:ascii="Times New Roman" w:hAnsi="Times New Roman" w:cs="Times New Roman"/>
          <w:b/>
        </w:rPr>
        <w:t>Haridus</w:t>
      </w:r>
      <w:r w:rsidRPr="00092F4D">
        <w:rPr>
          <w:rFonts w:ascii="Times New Roman" w:hAnsi="Times New Roman" w:cs="Times New Roman"/>
        </w:rPr>
        <w:t xml:space="preserve"> moodustab põhitegevuse kuludest </w:t>
      </w:r>
      <w:r w:rsidR="00E7137B" w:rsidRPr="00092F4D">
        <w:rPr>
          <w:rFonts w:ascii="Times New Roman" w:hAnsi="Times New Roman" w:cs="Times New Roman"/>
        </w:rPr>
        <w:t xml:space="preserve">suurima osa </w:t>
      </w:r>
      <w:r w:rsidR="00B376B1" w:rsidRPr="00092F4D">
        <w:rPr>
          <w:rFonts w:ascii="Times New Roman" w:hAnsi="Times New Roman" w:cs="Times New Roman"/>
        </w:rPr>
        <w:t>62,</w:t>
      </w:r>
      <w:r w:rsidR="00F20C20" w:rsidRPr="00092F4D">
        <w:rPr>
          <w:rFonts w:ascii="Times New Roman" w:hAnsi="Times New Roman" w:cs="Times New Roman"/>
        </w:rPr>
        <w:t>7</w:t>
      </w:r>
      <w:r w:rsidRPr="00092F4D">
        <w:rPr>
          <w:rFonts w:ascii="Times New Roman" w:hAnsi="Times New Roman" w:cs="Times New Roman"/>
        </w:rPr>
        <w:t xml:space="preserve">% ehk </w:t>
      </w:r>
      <w:r w:rsidR="00F20C20" w:rsidRPr="00092F4D">
        <w:rPr>
          <w:rFonts w:ascii="Times New Roman" w:hAnsi="Times New Roman" w:cs="Times New Roman"/>
        </w:rPr>
        <w:t>7,5</w:t>
      </w:r>
      <w:r w:rsidRPr="00092F4D">
        <w:rPr>
          <w:rFonts w:ascii="Times New Roman" w:hAnsi="Times New Roman" w:cs="Times New Roman"/>
        </w:rPr>
        <w:t xml:space="preserve"> miljonit</w:t>
      </w:r>
      <w:r w:rsidR="00DA00D5" w:rsidRPr="00092F4D">
        <w:rPr>
          <w:rFonts w:ascii="Times New Roman" w:hAnsi="Times New Roman" w:cs="Times New Roman"/>
        </w:rPr>
        <w:t xml:space="preserve"> eurot</w:t>
      </w:r>
      <w:r w:rsidRPr="00092F4D">
        <w:rPr>
          <w:rFonts w:ascii="Times New Roman" w:hAnsi="Times New Roman" w:cs="Times New Roman"/>
        </w:rPr>
        <w:t xml:space="preserve">, </w:t>
      </w:r>
      <w:r w:rsidR="00BE53BC" w:rsidRPr="00092F4D">
        <w:rPr>
          <w:rFonts w:ascii="Times New Roman" w:hAnsi="Times New Roman" w:cs="Times New Roman"/>
        </w:rPr>
        <w:t xml:space="preserve">mis võrreldes eelmise aastaga on </w:t>
      </w:r>
      <w:r w:rsidR="00F20C20" w:rsidRPr="00092F4D">
        <w:rPr>
          <w:rFonts w:ascii="Times New Roman" w:hAnsi="Times New Roman" w:cs="Times New Roman"/>
        </w:rPr>
        <w:t>suurenenud 11,7%</w:t>
      </w:r>
      <w:r w:rsidR="006A3F97" w:rsidRPr="00092F4D">
        <w:rPr>
          <w:rFonts w:ascii="Times New Roman" w:hAnsi="Times New Roman" w:cs="Times New Roman"/>
        </w:rPr>
        <w:t>. Tööjõukulude</w:t>
      </w:r>
      <w:r w:rsidR="005B18FB" w:rsidRPr="00092F4D">
        <w:rPr>
          <w:rFonts w:ascii="Times New Roman" w:hAnsi="Times New Roman" w:cs="Times New Roman"/>
        </w:rPr>
        <w:t xml:space="preserve"> ja majandamiskulude</w:t>
      </w:r>
      <w:r w:rsidR="006A3F97" w:rsidRPr="00092F4D">
        <w:rPr>
          <w:rFonts w:ascii="Times New Roman" w:hAnsi="Times New Roman" w:cs="Times New Roman"/>
        </w:rPr>
        <w:t xml:space="preserve"> kasv on tingitud </w:t>
      </w:r>
      <w:proofErr w:type="spellStart"/>
      <w:r w:rsidR="006A3F97" w:rsidRPr="00092F4D">
        <w:rPr>
          <w:rFonts w:ascii="Times New Roman" w:hAnsi="Times New Roman" w:cs="Times New Roman"/>
        </w:rPr>
        <w:t>Aespa</w:t>
      </w:r>
      <w:proofErr w:type="spellEnd"/>
      <w:r w:rsidR="006A3F97" w:rsidRPr="00092F4D">
        <w:rPr>
          <w:rFonts w:ascii="Times New Roman" w:hAnsi="Times New Roman" w:cs="Times New Roman"/>
        </w:rPr>
        <w:t xml:space="preserve"> lasteaia kulude lisandumisega 2021.aastal</w:t>
      </w:r>
      <w:r w:rsidR="005B18FB" w:rsidRPr="00092F4D">
        <w:rPr>
          <w:rFonts w:ascii="Times New Roman" w:hAnsi="Times New Roman" w:cs="Times New Roman"/>
        </w:rPr>
        <w:t xml:space="preserve">, samuti on planeeritud suuremaid jooksva remondi kulusid haridusasutustes. </w:t>
      </w:r>
    </w:p>
    <w:p w14:paraId="5D20C092" w14:textId="398F47D8" w:rsidR="00E7137B" w:rsidRPr="00092F4D" w:rsidRDefault="00E7137B" w:rsidP="005030C7">
      <w:pPr>
        <w:pStyle w:val="ListParagraph"/>
        <w:numPr>
          <w:ilvl w:val="0"/>
          <w:numId w:val="5"/>
        </w:numPr>
        <w:jc w:val="both"/>
        <w:rPr>
          <w:rFonts w:ascii="Times New Roman" w:hAnsi="Times New Roman" w:cs="Times New Roman"/>
          <w:b/>
        </w:rPr>
      </w:pPr>
      <w:r w:rsidRPr="00092F4D">
        <w:rPr>
          <w:rFonts w:ascii="Times New Roman" w:hAnsi="Times New Roman" w:cs="Times New Roman"/>
          <w:b/>
        </w:rPr>
        <w:t>Vaba aeg, kultuur ja religioon</w:t>
      </w:r>
      <w:r w:rsidRPr="00092F4D">
        <w:rPr>
          <w:rFonts w:ascii="Times New Roman" w:hAnsi="Times New Roman" w:cs="Times New Roman"/>
        </w:rPr>
        <w:t xml:space="preserve"> </w:t>
      </w:r>
      <w:r w:rsidR="00B764C0" w:rsidRPr="00092F4D">
        <w:rPr>
          <w:rFonts w:ascii="Times New Roman" w:hAnsi="Times New Roman" w:cs="Times New Roman"/>
        </w:rPr>
        <w:t>1</w:t>
      </w:r>
      <w:r w:rsidR="00A00015" w:rsidRPr="00092F4D">
        <w:rPr>
          <w:rFonts w:ascii="Times New Roman" w:hAnsi="Times New Roman" w:cs="Times New Roman"/>
        </w:rPr>
        <w:t>,</w:t>
      </w:r>
      <w:r w:rsidR="005F4549" w:rsidRPr="00092F4D">
        <w:rPr>
          <w:rFonts w:ascii="Times New Roman" w:hAnsi="Times New Roman" w:cs="Times New Roman"/>
        </w:rPr>
        <w:t xml:space="preserve">3 </w:t>
      </w:r>
      <w:r w:rsidR="00B764C0" w:rsidRPr="00092F4D">
        <w:rPr>
          <w:rFonts w:ascii="Times New Roman" w:hAnsi="Times New Roman" w:cs="Times New Roman"/>
        </w:rPr>
        <w:t>miljon</w:t>
      </w:r>
      <w:r w:rsidRPr="00092F4D">
        <w:rPr>
          <w:rFonts w:ascii="Times New Roman" w:hAnsi="Times New Roman" w:cs="Times New Roman"/>
        </w:rPr>
        <w:t xml:space="preserve"> eurot</w:t>
      </w:r>
      <w:r w:rsidR="00D927FD" w:rsidRPr="00092F4D">
        <w:rPr>
          <w:rFonts w:ascii="Times New Roman" w:hAnsi="Times New Roman" w:cs="Times New Roman"/>
        </w:rPr>
        <w:t xml:space="preserve"> (+</w:t>
      </w:r>
      <w:r w:rsidR="005F4549" w:rsidRPr="00092F4D">
        <w:rPr>
          <w:rFonts w:ascii="Times New Roman" w:hAnsi="Times New Roman" w:cs="Times New Roman"/>
        </w:rPr>
        <w:t>26</w:t>
      </w:r>
      <w:r w:rsidR="00D927FD" w:rsidRPr="00092F4D">
        <w:rPr>
          <w:rFonts w:ascii="Times New Roman" w:hAnsi="Times New Roman" w:cs="Times New Roman"/>
        </w:rPr>
        <w:t>%)</w:t>
      </w:r>
      <w:r w:rsidRPr="00092F4D">
        <w:rPr>
          <w:rFonts w:ascii="Times New Roman" w:hAnsi="Times New Roman" w:cs="Times New Roman"/>
        </w:rPr>
        <w:t xml:space="preserve">, millest </w:t>
      </w:r>
      <w:r w:rsidR="00D03C10" w:rsidRPr="00092F4D">
        <w:rPr>
          <w:rFonts w:ascii="Times New Roman" w:hAnsi="Times New Roman" w:cs="Times New Roman"/>
        </w:rPr>
        <w:t>7</w:t>
      </w:r>
      <w:r w:rsidR="003B5BEC" w:rsidRPr="00092F4D">
        <w:rPr>
          <w:rFonts w:ascii="Times New Roman" w:hAnsi="Times New Roman" w:cs="Times New Roman"/>
        </w:rPr>
        <w:t>4,3</w:t>
      </w:r>
      <w:r w:rsidRPr="00092F4D">
        <w:rPr>
          <w:rFonts w:ascii="Times New Roman" w:hAnsi="Times New Roman" w:cs="Times New Roman"/>
        </w:rPr>
        <w:t xml:space="preserve"> ehk </w:t>
      </w:r>
      <w:r w:rsidR="003B5BEC" w:rsidRPr="00092F4D">
        <w:rPr>
          <w:rFonts w:ascii="Times New Roman" w:hAnsi="Times New Roman" w:cs="Times New Roman"/>
        </w:rPr>
        <w:t>1</w:t>
      </w:r>
      <w:r w:rsidR="00A73D01" w:rsidRPr="00092F4D">
        <w:rPr>
          <w:rFonts w:ascii="Times New Roman" w:hAnsi="Times New Roman" w:cs="Times New Roman"/>
        </w:rPr>
        <w:t xml:space="preserve"> </w:t>
      </w:r>
      <w:r w:rsidRPr="00092F4D">
        <w:rPr>
          <w:rFonts w:ascii="Times New Roman" w:hAnsi="Times New Roman" w:cs="Times New Roman"/>
        </w:rPr>
        <w:t xml:space="preserve">miljon eurot moodustavad </w:t>
      </w:r>
      <w:r w:rsidR="00A73D01" w:rsidRPr="00092F4D">
        <w:rPr>
          <w:rFonts w:ascii="Times New Roman" w:hAnsi="Times New Roman" w:cs="Times New Roman"/>
        </w:rPr>
        <w:t>kultuuriasutuste</w:t>
      </w:r>
      <w:r w:rsidR="00E8001C" w:rsidRPr="00092F4D">
        <w:rPr>
          <w:rFonts w:ascii="Times New Roman" w:hAnsi="Times New Roman" w:cs="Times New Roman"/>
        </w:rPr>
        <w:t xml:space="preserve"> </w:t>
      </w:r>
      <w:r w:rsidR="00A73D01" w:rsidRPr="00092F4D">
        <w:rPr>
          <w:rFonts w:ascii="Times New Roman" w:hAnsi="Times New Roman" w:cs="Times New Roman"/>
        </w:rPr>
        <w:t xml:space="preserve">(spordikompleksi, </w:t>
      </w:r>
      <w:r w:rsidRPr="00092F4D">
        <w:rPr>
          <w:rFonts w:ascii="Times New Roman" w:hAnsi="Times New Roman" w:cs="Times New Roman"/>
        </w:rPr>
        <w:t>raamatukogude,</w:t>
      </w:r>
      <w:r w:rsidR="006966DF" w:rsidRPr="00092F4D">
        <w:rPr>
          <w:rFonts w:ascii="Times New Roman" w:hAnsi="Times New Roman" w:cs="Times New Roman"/>
        </w:rPr>
        <w:t xml:space="preserve"> rahvamaja</w:t>
      </w:r>
      <w:r w:rsidRPr="00092F4D">
        <w:rPr>
          <w:rFonts w:ascii="Times New Roman" w:hAnsi="Times New Roman" w:cs="Times New Roman"/>
        </w:rPr>
        <w:t>maja</w:t>
      </w:r>
      <w:r w:rsidR="00A73D01" w:rsidRPr="00092F4D">
        <w:rPr>
          <w:rFonts w:ascii="Times New Roman" w:hAnsi="Times New Roman" w:cs="Times New Roman"/>
        </w:rPr>
        <w:t xml:space="preserve">, </w:t>
      </w:r>
      <w:r w:rsidRPr="00092F4D">
        <w:rPr>
          <w:rFonts w:ascii="Times New Roman" w:hAnsi="Times New Roman" w:cs="Times New Roman"/>
        </w:rPr>
        <w:t>noortekeskuste</w:t>
      </w:r>
      <w:r w:rsidR="00A73D01" w:rsidRPr="00092F4D">
        <w:rPr>
          <w:rFonts w:ascii="Times New Roman" w:hAnsi="Times New Roman" w:cs="Times New Roman"/>
        </w:rPr>
        <w:t xml:space="preserve">, </w:t>
      </w:r>
      <w:r w:rsidRPr="00092F4D">
        <w:rPr>
          <w:rFonts w:ascii="Times New Roman" w:hAnsi="Times New Roman" w:cs="Times New Roman"/>
        </w:rPr>
        <w:t xml:space="preserve"> </w:t>
      </w:r>
      <w:r w:rsidR="00A73D01" w:rsidRPr="00092F4D">
        <w:rPr>
          <w:rFonts w:ascii="Times New Roman" w:hAnsi="Times New Roman" w:cs="Times New Roman"/>
        </w:rPr>
        <w:t>muuseumi)</w:t>
      </w:r>
      <w:r w:rsidR="00E8001C" w:rsidRPr="00092F4D">
        <w:rPr>
          <w:rFonts w:ascii="Times New Roman" w:hAnsi="Times New Roman" w:cs="Times New Roman"/>
        </w:rPr>
        <w:t>,</w:t>
      </w:r>
      <w:r w:rsidR="00A73D01" w:rsidRPr="00092F4D">
        <w:rPr>
          <w:rFonts w:ascii="Times New Roman" w:hAnsi="Times New Roman" w:cs="Times New Roman"/>
        </w:rPr>
        <w:t xml:space="preserve"> </w:t>
      </w:r>
      <w:r w:rsidR="00E8001C" w:rsidRPr="00092F4D">
        <w:rPr>
          <w:rFonts w:ascii="Times New Roman" w:hAnsi="Times New Roman" w:cs="Times New Roman"/>
        </w:rPr>
        <w:t xml:space="preserve">info ja kultuurihaldusega seotud </w:t>
      </w:r>
      <w:r w:rsidRPr="00092F4D">
        <w:rPr>
          <w:rFonts w:ascii="Times New Roman" w:hAnsi="Times New Roman" w:cs="Times New Roman"/>
        </w:rPr>
        <w:t>tegevuskulud</w:t>
      </w:r>
      <w:r w:rsidR="00A73D01" w:rsidRPr="00092F4D">
        <w:rPr>
          <w:rFonts w:ascii="Times New Roman" w:hAnsi="Times New Roman" w:cs="Times New Roman"/>
        </w:rPr>
        <w:t xml:space="preserve"> ning </w:t>
      </w:r>
      <w:r w:rsidR="00D03C10" w:rsidRPr="00092F4D">
        <w:rPr>
          <w:rFonts w:ascii="Times New Roman" w:hAnsi="Times New Roman" w:cs="Times New Roman"/>
        </w:rPr>
        <w:t>2</w:t>
      </w:r>
      <w:r w:rsidR="003B5BEC" w:rsidRPr="00092F4D">
        <w:rPr>
          <w:rFonts w:ascii="Times New Roman" w:hAnsi="Times New Roman" w:cs="Times New Roman"/>
        </w:rPr>
        <w:t>5,7</w:t>
      </w:r>
      <w:r w:rsidR="00A73D01" w:rsidRPr="00092F4D">
        <w:rPr>
          <w:rFonts w:ascii="Times New Roman" w:hAnsi="Times New Roman" w:cs="Times New Roman"/>
        </w:rPr>
        <w:t>% spordi ja vabaajategevusega seotud kulud</w:t>
      </w:r>
      <w:r w:rsidRPr="00092F4D">
        <w:rPr>
          <w:rFonts w:ascii="Times New Roman" w:hAnsi="Times New Roman" w:cs="Times New Roman"/>
        </w:rPr>
        <w:t>;</w:t>
      </w:r>
    </w:p>
    <w:p w14:paraId="2BCD70AD" w14:textId="0EA5FFF2" w:rsidR="00F143C6" w:rsidRPr="00092F4D" w:rsidRDefault="000632B5" w:rsidP="002D6678">
      <w:pPr>
        <w:pStyle w:val="ListParagraph"/>
        <w:numPr>
          <w:ilvl w:val="0"/>
          <w:numId w:val="5"/>
        </w:numPr>
        <w:jc w:val="both"/>
        <w:rPr>
          <w:rFonts w:ascii="Times New Roman" w:hAnsi="Times New Roman" w:cs="Times New Roman"/>
          <w:b/>
          <w:color w:val="FF0000"/>
        </w:rPr>
      </w:pPr>
      <w:r w:rsidRPr="00092F4D">
        <w:rPr>
          <w:rFonts w:ascii="Times New Roman" w:hAnsi="Times New Roman" w:cs="Times New Roman"/>
          <w:b/>
        </w:rPr>
        <w:t>Sotsiaalne kaitse</w:t>
      </w:r>
      <w:r w:rsidRPr="00092F4D">
        <w:rPr>
          <w:rFonts w:ascii="Times New Roman" w:hAnsi="Times New Roman" w:cs="Times New Roman"/>
        </w:rPr>
        <w:t xml:space="preserve"> </w:t>
      </w:r>
      <w:r w:rsidR="00D66571" w:rsidRPr="00092F4D">
        <w:rPr>
          <w:rFonts w:ascii="Times New Roman" w:hAnsi="Times New Roman" w:cs="Times New Roman"/>
        </w:rPr>
        <w:t>1</w:t>
      </w:r>
      <w:r w:rsidR="003B5BEC" w:rsidRPr="00092F4D">
        <w:rPr>
          <w:rFonts w:ascii="Times New Roman" w:hAnsi="Times New Roman" w:cs="Times New Roman"/>
        </w:rPr>
        <w:t xml:space="preserve"> </w:t>
      </w:r>
      <w:r w:rsidRPr="00092F4D">
        <w:rPr>
          <w:rFonts w:ascii="Times New Roman" w:hAnsi="Times New Roman" w:cs="Times New Roman"/>
        </w:rPr>
        <w:t xml:space="preserve">miljon eurot, millest </w:t>
      </w:r>
      <w:r w:rsidR="001A5060">
        <w:rPr>
          <w:rFonts w:ascii="Times New Roman" w:hAnsi="Times New Roman" w:cs="Times New Roman"/>
        </w:rPr>
        <w:t>36</w:t>
      </w:r>
      <w:r w:rsidRPr="00092F4D">
        <w:rPr>
          <w:rFonts w:ascii="Times New Roman" w:hAnsi="Times New Roman" w:cs="Times New Roman"/>
        </w:rPr>
        <w:t>% suunatakse vanurite ja puudega isikute hooldekodude kohamaksu tasumiseks</w:t>
      </w:r>
      <w:r w:rsidR="003800FF" w:rsidRPr="00092F4D">
        <w:rPr>
          <w:rFonts w:ascii="Times New Roman" w:hAnsi="Times New Roman" w:cs="Times New Roman"/>
        </w:rPr>
        <w:t xml:space="preserve"> ja muudeks kuludeks, </w:t>
      </w:r>
      <w:r w:rsidR="000415F7" w:rsidRPr="00092F4D">
        <w:rPr>
          <w:rFonts w:ascii="Times New Roman" w:hAnsi="Times New Roman" w:cs="Times New Roman"/>
        </w:rPr>
        <w:t>52</w:t>
      </w:r>
      <w:r w:rsidR="003800FF" w:rsidRPr="00092F4D">
        <w:rPr>
          <w:rFonts w:ascii="Times New Roman" w:hAnsi="Times New Roman" w:cs="Times New Roman"/>
        </w:rPr>
        <w:t>% perede toet</w:t>
      </w:r>
      <w:r w:rsidR="00937AED" w:rsidRPr="00092F4D">
        <w:rPr>
          <w:rFonts w:ascii="Times New Roman" w:hAnsi="Times New Roman" w:cs="Times New Roman"/>
        </w:rPr>
        <w:t xml:space="preserve">useks, sh laste päevahoiutoetus, </w:t>
      </w:r>
      <w:r w:rsidR="00D66571" w:rsidRPr="00092F4D">
        <w:rPr>
          <w:rFonts w:ascii="Times New Roman" w:hAnsi="Times New Roman" w:cs="Times New Roman"/>
        </w:rPr>
        <w:t>mis on</w:t>
      </w:r>
      <w:r w:rsidR="00937AED" w:rsidRPr="00092F4D">
        <w:rPr>
          <w:rFonts w:ascii="Times New Roman" w:hAnsi="Times New Roman" w:cs="Times New Roman"/>
        </w:rPr>
        <w:t xml:space="preserve"> 275 euro</w:t>
      </w:r>
      <w:r w:rsidR="00D66571" w:rsidRPr="00092F4D">
        <w:rPr>
          <w:rFonts w:ascii="Times New Roman" w:hAnsi="Times New Roman" w:cs="Times New Roman"/>
        </w:rPr>
        <w:t>t</w:t>
      </w:r>
      <w:r w:rsidR="00700499" w:rsidRPr="00092F4D">
        <w:rPr>
          <w:rFonts w:ascii="Times New Roman" w:hAnsi="Times New Roman" w:cs="Times New Roman"/>
        </w:rPr>
        <w:t xml:space="preserve"> kuus</w:t>
      </w:r>
      <w:r w:rsidR="001E7CF2" w:rsidRPr="00092F4D">
        <w:rPr>
          <w:rFonts w:ascii="Times New Roman" w:hAnsi="Times New Roman" w:cs="Times New Roman"/>
        </w:rPr>
        <w:t xml:space="preserve"> ja riigitoetusega lisatud </w:t>
      </w:r>
      <w:r w:rsidR="009F12A1" w:rsidRPr="00092F4D">
        <w:rPr>
          <w:rFonts w:ascii="Times New Roman" w:hAnsi="Times New Roman" w:cs="Times New Roman"/>
        </w:rPr>
        <w:t xml:space="preserve">laste </w:t>
      </w:r>
      <w:r w:rsidR="001E7CF2" w:rsidRPr="00092F4D">
        <w:rPr>
          <w:rFonts w:ascii="Times New Roman" w:hAnsi="Times New Roman" w:cs="Times New Roman"/>
        </w:rPr>
        <w:t xml:space="preserve">asendus- ning </w:t>
      </w:r>
      <w:proofErr w:type="spellStart"/>
      <w:r w:rsidR="001E7CF2" w:rsidRPr="00092F4D">
        <w:rPr>
          <w:rFonts w:ascii="Times New Roman" w:hAnsi="Times New Roman" w:cs="Times New Roman"/>
        </w:rPr>
        <w:t>järelhooldus</w:t>
      </w:r>
      <w:r w:rsidR="009F12A1" w:rsidRPr="00092F4D">
        <w:rPr>
          <w:rFonts w:ascii="Times New Roman" w:hAnsi="Times New Roman" w:cs="Times New Roman"/>
        </w:rPr>
        <w:t>e</w:t>
      </w:r>
      <w:proofErr w:type="spellEnd"/>
      <w:r w:rsidR="009F12A1" w:rsidRPr="00092F4D">
        <w:rPr>
          <w:rFonts w:ascii="Times New Roman" w:hAnsi="Times New Roman" w:cs="Times New Roman"/>
        </w:rPr>
        <w:t xml:space="preserve"> kulud,</w:t>
      </w:r>
      <w:r w:rsidR="003800FF" w:rsidRPr="00092F4D">
        <w:rPr>
          <w:rFonts w:ascii="Times New Roman" w:hAnsi="Times New Roman" w:cs="Times New Roman"/>
        </w:rPr>
        <w:t xml:space="preserve"> </w:t>
      </w:r>
      <w:r w:rsidR="000415F7" w:rsidRPr="00092F4D">
        <w:rPr>
          <w:rFonts w:ascii="Times New Roman" w:hAnsi="Times New Roman" w:cs="Times New Roman"/>
        </w:rPr>
        <w:t>1</w:t>
      </w:r>
      <w:r w:rsidR="001A5060">
        <w:rPr>
          <w:rFonts w:ascii="Times New Roman" w:hAnsi="Times New Roman" w:cs="Times New Roman"/>
        </w:rPr>
        <w:t>2</w:t>
      </w:r>
      <w:r w:rsidR="003800FF" w:rsidRPr="00092F4D">
        <w:rPr>
          <w:rFonts w:ascii="Times New Roman" w:hAnsi="Times New Roman" w:cs="Times New Roman"/>
        </w:rPr>
        <w:t>% riiklikuks toimetuleku- ja täiendavateks toetusteks riskirühmadele</w:t>
      </w:r>
      <w:r w:rsidR="0071766E" w:rsidRPr="00092F4D">
        <w:rPr>
          <w:rFonts w:ascii="Times New Roman" w:hAnsi="Times New Roman" w:cs="Times New Roman"/>
        </w:rPr>
        <w:t>.</w:t>
      </w:r>
      <w:r w:rsidR="00963B3A" w:rsidRPr="00092F4D">
        <w:rPr>
          <w:rFonts w:ascii="Times New Roman" w:hAnsi="Times New Roman" w:cs="Times New Roman"/>
        </w:rPr>
        <w:t xml:space="preserve"> </w:t>
      </w:r>
    </w:p>
    <w:p w14:paraId="03687977" w14:textId="6BA97F5B" w:rsidR="00F143C6" w:rsidRPr="00092F4D" w:rsidRDefault="00F143C6" w:rsidP="005030C7">
      <w:pPr>
        <w:contextualSpacing/>
        <w:jc w:val="both"/>
        <w:rPr>
          <w:rFonts w:ascii="Times New Roman" w:hAnsi="Times New Roman" w:cs="Times New Roman"/>
          <w:b/>
        </w:rPr>
      </w:pPr>
      <w:r w:rsidRPr="00092F4D">
        <w:rPr>
          <w:rFonts w:ascii="Times New Roman" w:hAnsi="Times New Roman" w:cs="Times New Roman"/>
        </w:rPr>
        <w:t xml:space="preserve">Ülejäänud </w:t>
      </w:r>
      <w:r w:rsidR="001F0381" w:rsidRPr="00092F4D">
        <w:rPr>
          <w:rFonts w:ascii="Times New Roman" w:hAnsi="Times New Roman" w:cs="Times New Roman"/>
        </w:rPr>
        <w:t>1</w:t>
      </w:r>
      <w:r w:rsidR="00615F9A" w:rsidRPr="00092F4D">
        <w:rPr>
          <w:rFonts w:ascii="Times New Roman" w:hAnsi="Times New Roman" w:cs="Times New Roman"/>
        </w:rPr>
        <w:t>8</w:t>
      </w:r>
      <w:r w:rsidRPr="00092F4D">
        <w:rPr>
          <w:rFonts w:ascii="Times New Roman" w:hAnsi="Times New Roman" w:cs="Times New Roman"/>
        </w:rPr>
        <w:t xml:space="preserve">% põhitegevuse kuludest ehk </w:t>
      </w:r>
      <w:r w:rsidR="00964BB5" w:rsidRPr="00092F4D">
        <w:rPr>
          <w:rFonts w:ascii="Times New Roman" w:hAnsi="Times New Roman" w:cs="Times New Roman"/>
        </w:rPr>
        <w:t>2</w:t>
      </w:r>
      <w:r w:rsidR="00615F9A" w:rsidRPr="00092F4D">
        <w:rPr>
          <w:rFonts w:ascii="Times New Roman" w:hAnsi="Times New Roman" w:cs="Times New Roman"/>
        </w:rPr>
        <w:t xml:space="preserve">,2 </w:t>
      </w:r>
      <w:r w:rsidRPr="00092F4D">
        <w:rPr>
          <w:rFonts w:ascii="Times New Roman" w:hAnsi="Times New Roman" w:cs="Times New Roman"/>
        </w:rPr>
        <w:t xml:space="preserve">miljonit eurot  jaguneb </w:t>
      </w:r>
      <w:r w:rsidR="003800FF" w:rsidRPr="00092F4D">
        <w:rPr>
          <w:rFonts w:ascii="Times New Roman" w:hAnsi="Times New Roman" w:cs="Times New Roman"/>
        </w:rPr>
        <w:t>kuue</w:t>
      </w:r>
      <w:r w:rsidRPr="00092F4D">
        <w:rPr>
          <w:rFonts w:ascii="Times New Roman" w:hAnsi="Times New Roman" w:cs="Times New Roman"/>
        </w:rPr>
        <w:t xml:space="preserve"> valdkonna vahel järgmiselt:</w:t>
      </w:r>
    </w:p>
    <w:p w14:paraId="5A086AD3" w14:textId="64EA1303" w:rsidR="00F143C6" w:rsidRPr="00092F4D" w:rsidRDefault="00F143C6" w:rsidP="005030C7">
      <w:pPr>
        <w:pStyle w:val="ListParagraph"/>
        <w:numPr>
          <w:ilvl w:val="0"/>
          <w:numId w:val="5"/>
        </w:numPr>
        <w:jc w:val="both"/>
        <w:rPr>
          <w:rFonts w:ascii="Times New Roman" w:hAnsi="Times New Roman" w:cs="Times New Roman"/>
          <w:b/>
        </w:rPr>
      </w:pPr>
      <w:r w:rsidRPr="00092F4D">
        <w:rPr>
          <w:rFonts w:ascii="Times New Roman" w:hAnsi="Times New Roman" w:cs="Times New Roman"/>
          <w:b/>
        </w:rPr>
        <w:t>Majandus</w:t>
      </w:r>
      <w:r w:rsidR="003800FF" w:rsidRPr="00092F4D">
        <w:rPr>
          <w:rFonts w:ascii="Times New Roman" w:hAnsi="Times New Roman" w:cs="Times New Roman"/>
        </w:rPr>
        <w:t xml:space="preserve"> 0</w:t>
      </w:r>
      <w:r w:rsidRPr="00092F4D">
        <w:rPr>
          <w:rFonts w:ascii="Times New Roman" w:hAnsi="Times New Roman" w:cs="Times New Roman"/>
        </w:rPr>
        <w:t>,</w:t>
      </w:r>
      <w:r w:rsidR="00615F9A" w:rsidRPr="00092F4D">
        <w:rPr>
          <w:rFonts w:ascii="Times New Roman" w:hAnsi="Times New Roman" w:cs="Times New Roman"/>
        </w:rPr>
        <w:t>6</w:t>
      </w:r>
      <w:r w:rsidRPr="00092F4D">
        <w:rPr>
          <w:rFonts w:ascii="Times New Roman" w:hAnsi="Times New Roman" w:cs="Times New Roman"/>
        </w:rPr>
        <w:t xml:space="preserve"> miljonit eurot, millest </w:t>
      </w:r>
      <w:r w:rsidR="00674722" w:rsidRPr="00092F4D">
        <w:rPr>
          <w:rFonts w:ascii="Times New Roman" w:hAnsi="Times New Roman" w:cs="Times New Roman"/>
        </w:rPr>
        <w:t>38</w:t>
      </w:r>
      <w:r w:rsidRPr="00092F4D">
        <w:rPr>
          <w:rFonts w:ascii="Times New Roman" w:hAnsi="Times New Roman" w:cs="Times New Roman"/>
        </w:rPr>
        <w:t xml:space="preserve">% </w:t>
      </w:r>
      <w:r w:rsidR="00E45EEB" w:rsidRPr="00092F4D">
        <w:rPr>
          <w:rFonts w:ascii="Times New Roman" w:hAnsi="Times New Roman" w:cs="Times New Roman"/>
        </w:rPr>
        <w:t xml:space="preserve"> </w:t>
      </w:r>
      <w:r w:rsidRPr="00092F4D">
        <w:rPr>
          <w:rFonts w:ascii="Times New Roman" w:hAnsi="Times New Roman" w:cs="Times New Roman"/>
        </w:rPr>
        <w:t>moodustab teede ja tänavate korrashoid</w:t>
      </w:r>
      <w:r w:rsidR="00D60914" w:rsidRPr="00092F4D">
        <w:rPr>
          <w:rFonts w:ascii="Times New Roman" w:hAnsi="Times New Roman" w:cs="Times New Roman"/>
        </w:rPr>
        <w:t xml:space="preserve">. </w:t>
      </w:r>
    </w:p>
    <w:p w14:paraId="0FF6FB05" w14:textId="704AD4F9" w:rsidR="00E45EEB" w:rsidRPr="00092F4D" w:rsidRDefault="00E541E7" w:rsidP="00B56AE0">
      <w:pPr>
        <w:pStyle w:val="ListParagraph"/>
        <w:numPr>
          <w:ilvl w:val="0"/>
          <w:numId w:val="5"/>
        </w:numPr>
        <w:jc w:val="both"/>
        <w:rPr>
          <w:rFonts w:ascii="Times New Roman" w:hAnsi="Times New Roman" w:cs="Times New Roman"/>
          <w:b/>
          <w:color w:val="FF0000"/>
        </w:rPr>
      </w:pPr>
      <w:r w:rsidRPr="00092F4D">
        <w:rPr>
          <w:rFonts w:ascii="Times New Roman" w:hAnsi="Times New Roman" w:cs="Times New Roman"/>
          <w:b/>
        </w:rPr>
        <w:t>Elamu- ja kommunaalmajandus</w:t>
      </w:r>
      <w:r w:rsidR="003800FF" w:rsidRPr="00092F4D">
        <w:rPr>
          <w:rFonts w:ascii="Times New Roman" w:hAnsi="Times New Roman" w:cs="Times New Roman"/>
          <w:b/>
        </w:rPr>
        <w:t xml:space="preserve"> </w:t>
      </w:r>
      <w:r w:rsidR="003800FF" w:rsidRPr="00092F4D">
        <w:rPr>
          <w:rFonts w:ascii="Times New Roman" w:hAnsi="Times New Roman" w:cs="Times New Roman"/>
        </w:rPr>
        <w:t>moodustab</w:t>
      </w:r>
      <w:r w:rsidR="00E45EEB" w:rsidRPr="00092F4D">
        <w:rPr>
          <w:rFonts w:ascii="Times New Roman" w:hAnsi="Times New Roman" w:cs="Times New Roman"/>
        </w:rPr>
        <w:t xml:space="preserve"> </w:t>
      </w:r>
      <w:r w:rsidR="00674722" w:rsidRPr="00092F4D">
        <w:rPr>
          <w:rFonts w:ascii="Times New Roman" w:hAnsi="Times New Roman" w:cs="Times New Roman"/>
        </w:rPr>
        <w:t>2</w:t>
      </w:r>
      <w:r w:rsidR="003800FF" w:rsidRPr="00092F4D">
        <w:rPr>
          <w:rFonts w:ascii="Times New Roman" w:hAnsi="Times New Roman" w:cs="Times New Roman"/>
        </w:rPr>
        <w:t xml:space="preserve">% ehk </w:t>
      </w:r>
      <w:r w:rsidR="00393077" w:rsidRPr="00092F4D">
        <w:rPr>
          <w:rFonts w:ascii="Times New Roman" w:hAnsi="Times New Roman" w:cs="Times New Roman"/>
        </w:rPr>
        <w:t>0,2</w:t>
      </w:r>
      <w:r w:rsidR="007847D2">
        <w:rPr>
          <w:rFonts w:ascii="Times New Roman" w:hAnsi="Times New Roman" w:cs="Times New Roman"/>
        </w:rPr>
        <w:t xml:space="preserve"> </w:t>
      </w:r>
      <w:r w:rsidR="00393077" w:rsidRPr="00092F4D">
        <w:rPr>
          <w:rFonts w:ascii="Times New Roman" w:hAnsi="Times New Roman" w:cs="Times New Roman"/>
        </w:rPr>
        <w:t>miljonit eurot</w:t>
      </w:r>
      <w:r w:rsidR="00177D94" w:rsidRPr="00092F4D">
        <w:rPr>
          <w:rFonts w:ascii="Times New Roman" w:hAnsi="Times New Roman" w:cs="Times New Roman"/>
        </w:rPr>
        <w:t xml:space="preserve">. </w:t>
      </w:r>
      <w:r w:rsidR="00E45EEB" w:rsidRPr="00092F4D">
        <w:rPr>
          <w:rFonts w:ascii="Times New Roman" w:hAnsi="Times New Roman" w:cs="Times New Roman"/>
        </w:rPr>
        <w:t xml:space="preserve">Suurim kulu tänavavalgustuse </w:t>
      </w:r>
      <w:r w:rsidR="00393077" w:rsidRPr="00092F4D">
        <w:rPr>
          <w:rFonts w:ascii="Times New Roman" w:hAnsi="Times New Roman" w:cs="Times New Roman"/>
        </w:rPr>
        <w:t xml:space="preserve">ülalpidamisse ja hooldusesse, samas </w:t>
      </w:r>
      <w:r w:rsidR="00AB355B" w:rsidRPr="00092F4D">
        <w:rPr>
          <w:rFonts w:ascii="Times New Roman" w:hAnsi="Times New Roman" w:cs="Times New Roman"/>
        </w:rPr>
        <w:t xml:space="preserve">on suur </w:t>
      </w:r>
      <w:r w:rsidR="00393077" w:rsidRPr="00092F4D">
        <w:rPr>
          <w:rFonts w:ascii="Times New Roman" w:hAnsi="Times New Roman" w:cs="Times New Roman"/>
        </w:rPr>
        <w:t>elektri kokkuhoid uuenenud energiasäästliku tänavavalgustuse taristu rakendamisest.</w:t>
      </w:r>
    </w:p>
    <w:p w14:paraId="1108A48B" w14:textId="0376D7BC" w:rsidR="003800FF" w:rsidRPr="00092F4D" w:rsidRDefault="00E541E7" w:rsidP="00B56AE0">
      <w:pPr>
        <w:pStyle w:val="ListParagraph"/>
        <w:numPr>
          <w:ilvl w:val="0"/>
          <w:numId w:val="5"/>
        </w:numPr>
        <w:jc w:val="both"/>
        <w:rPr>
          <w:rFonts w:ascii="Times New Roman" w:hAnsi="Times New Roman" w:cs="Times New Roman"/>
          <w:b/>
        </w:rPr>
      </w:pPr>
      <w:r w:rsidRPr="00092F4D">
        <w:rPr>
          <w:rFonts w:ascii="Times New Roman" w:hAnsi="Times New Roman" w:cs="Times New Roman"/>
          <w:b/>
        </w:rPr>
        <w:t xml:space="preserve">Keskkonnakaitse kulud </w:t>
      </w:r>
      <w:r w:rsidRPr="00092F4D">
        <w:rPr>
          <w:rFonts w:ascii="Times New Roman" w:hAnsi="Times New Roman" w:cs="Times New Roman"/>
        </w:rPr>
        <w:t>0,</w:t>
      </w:r>
      <w:r w:rsidR="009B6C9A" w:rsidRPr="00092F4D">
        <w:rPr>
          <w:rFonts w:ascii="Times New Roman" w:hAnsi="Times New Roman" w:cs="Times New Roman"/>
        </w:rPr>
        <w:t>4</w:t>
      </w:r>
      <w:r w:rsidRPr="00092F4D">
        <w:rPr>
          <w:rFonts w:ascii="Times New Roman" w:hAnsi="Times New Roman" w:cs="Times New Roman"/>
        </w:rPr>
        <w:t xml:space="preserve"> miljonit eurot, </w:t>
      </w:r>
      <w:r w:rsidR="00A1492F" w:rsidRPr="00092F4D">
        <w:rPr>
          <w:rFonts w:ascii="Times New Roman" w:hAnsi="Times New Roman" w:cs="Times New Roman"/>
        </w:rPr>
        <w:t>3,</w:t>
      </w:r>
      <w:r w:rsidR="009B6C9A" w:rsidRPr="00092F4D">
        <w:rPr>
          <w:rFonts w:ascii="Times New Roman" w:hAnsi="Times New Roman" w:cs="Times New Roman"/>
        </w:rPr>
        <w:t>7</w:t>
      </w:r>
      <w:r w:rsidRPr="00092F4D">
        <w:rPr>
          <w:rFonts w:ascii="Times New Roman" w:hAnsi="Times New Roman" w:cs="Times New Roman"/>
        </w:rPr>
        <w:t>% kuludest</w:t>
      </w:r>
      <w:r w:rsidR="00674722" w:rsidRPr="00092F4D">
        <w:rPr>
          <w:rFonts w:ascii="Times New Roman" w:hAnsi="Times New Roman" w:cs="Times New Roman"/>
        </w:rPr>
        <w:t>,</w:t>
      </w:r>
      <w:r w:rsidRPr="00092F4D">
        <w:rPr>
          <w:rFonts w:ascii="Times New Roman" w:hAnsi="Times New Roman" w:cs="Times New Roman"/>
        </w:rPr>
        <w:t xml:space="preserve"> suurim kulu </w:t>
      </w:r>
      <w:r w:rsidR="00A1492F" w:rsidRPr="00092F4D">
        <w:rPr>
          <w:rFonts w:ascii="Times New Roman" w:hAnsi="Times New Roman" w:cs="Times New Roman"/>
        </w:rPr>
        <w:t xml:space="preserve">läheb </w:t>
      </w:r>
      <w:r w:rsidR="00E45EEB" w:rsidRPr="00092F4D">
        <w:rPr>
          <w:rFonts w:ascii="Times New Roman" w:hAnsi="Times New Roman" w:cs="Times New Roman"/>
        </w:rPr>
        <w:t xml:space="preserve">avalike alade puhastamisele, sh </w:t>
      </w:r>
      <w:r w:rsidR="00BD16F7" w:rsidRPr="00092F4D">
        <w:rPr>
          <w:rFonts w:ascii="Times New Roman" w:hAnsi="Times New Roman" w:cs="Times New Roman"/>
        </w:rPr>
        <w:t xml:space="preserve">sõidu- ja kergliiklusteede </w:t>
      </w:r>
      <w:r w:rsidR="006F273D" w:rsidRPr="00092F4D">
        <w:rPr>
          <w:rFonts w:ascii="Times New Roman" w:hAnsi="Times New Roman" w:cs="Times New Roman"/>
        </w:rPr>
        <w:t xml:space="preserve">lumekoristus ja libedusetõrje </w:t>
      </w:r>
      <w:r w:rsidR="009B6C9A" w:rsidRPr="00092F4D">
        <w:rPr>
          <w:rFonts w:ascii="Times New Roman" w:hAnsi="Times New Roman" w:cs="Times New Roman"/>
        </w:rPr>
        <w:t>ning</w:t>
      </w:r>
      <w:r w:rsidR="006F273D" w:rsidRPr="00092F4D">
        <w:rPr>
          <w:rFonts w:ascii="Times New Roman" w:hAnsi="Times New Roman" w:cs="Times New Roman"/>
        </w:rPr>
        <w:t xml:space="preserve"> haljastusele.</w:t>
      </w:r>
    </w:p>
    <w:p w14:paraId="139D250B" w14:textId="4C7E5BCF" w:rsidR="00E541E7" w:rsidRPr="00092F4D" w:rsidRDefault="00177D94" w:rsidP="005030C7">
      <w:pPr>
        <w:pStyle w:val="ListParagraph"/>
        <w:numPr>
          <w:ilvl w:val="0"/>
          <w:numId w:val="5"/>
        </w:numPr>
        <w:jc w:val="both"/>
        <w:rPr>
          <w:rFonts w:ascii="Times New Roman" w:hAnsi="Times New Roman" w:cs="Times New Roman"/>
          <w:b/>
        </w:rPr>
      </w:pPr>
      <w:r w:rsidRPr="00092F4D">
        <w:rPr>
          <w:rFonts w:ascii="Times New Roman" w:hAnsi="Times New Roman" w:cs="Times New Roman"/>
          <w:b/>
        </w:rPr>
        <w:t>Muud</w:t>
      </w:r>
      <w:r w:rsidRPr="00092F4D">
        <w:rPr>
          <w:rFonts w:ascii="Times New Roman" w:hAnsi="Times New Roman" w:cs="Times New Roman"/>
        </w:rPr>
        <w:t xml:space="preserve"> ehk 0,</w:t>
      </w:r>
      <w:r w:rsidR="008714C3" w:rsidRPr="00092F4D">
        <w:rPr>
          <w:rFonts w:ascii="Times New Roman" w:hAnsi="Times New Roman" w:cs="Times New Roman"/>
        </w:rPr>
        <w:t xml:space="preserve">9 </w:t>
      </w:r>
      <w:r w:rsidRPr="00092F4D">
        <w:rPr>
          <w:rFonts w:ascii="Times New Roman" w:hAnsi="Times New Roman" w:cs="Times New Roman"/>
        </w:rPr>
        <w:t>miljonit eurot</w:t>
      </w:r>
      <w:r w:rsidR="00B821AF" w:rsidRPr="00092F4D">
        <w:rPr>
          <w:rFonts w:ascii="Times New Roman" w:hAnsi="Times New Roman" w:cs="Times New Roman"/>
        </w:rPr>
        <w:t xml:space="preserve">, </w:t>
      </w:r>
      <w:r w:rsidR="00964BB5" w:rsidRPr="00092F4D">
        <w:rPr>
          <w:rFonts w:ascii="Times New Roman" w:hAnsi="Times New Roman" w:cs="Times New Roman"/>
        </w:rPr>
        <w:t>6,</w:t>
      </w:r>
      <w:r w:rsidR="008714C3" w:rsidRPr="00092F4D">
        <w:rPr>
          <w:rFonts w:ascii="Times New Roman" w:hAnsi="Times New Roman" w:cs="Times New Roman"/>
        </w:rPr>
        <w:t>4</w:t>
      </w:r>
      <w:r w:rsidR="00B821AF" w:rsidRPr="00092F4D">
        <w:rPr>
          <w:rFonts w:ascii="Times New Roman" w:hAnsi="Times New Roman" w:cs="Times New Roman"/>
        </w:rPr>
        <w:t>% kuludest</w:t>
      </w:r>
      <w:r w:rsidRPr="00092F4D">
        <w:rPr>
          <w:rFonts w:ascii="Times New Roman" w:hAnsi="Times New Roman" w:cs="Times New Roman"/>
        </w:rPr>
        <w:t xml:space="preserve"> jaguneb </w:t>
      </w:r>
      <w:r w:rsidR="00964BB5" w:rsidRPr="00092F4D">
        <w:rPr>
          <w:rFonts w:ascii="Times New Roman" w:hAnsi="Times New Roman" w:cs="Times New Roman"/>
        </w:rPr>
        <w:t>valitsemiskuludele</w:t>
      </w:r>
      <w:r w:rsidR="00E541E7" w:rsidRPr="00092F4D">
        <w:rPr>
          <w:rFonts w:ascii="Times New Roman" w:hAnsi="Times New Roman" w:cs="Times New Roman"/>
        </w:rPr>
        <w:t>, avalikule korrale ja tervishoiule.</w:t>
      </w:r>
      <w:r w:rsidR="00610134" w:rsidRPr="00092F4D">
        <w:rPr>
          <w:rFonts w:ascii="Times New Roman" w:hAnsi="Times New Roman" w:cs="Times New Roman"/>
        </w:rPr>
        <w:t xml:space="preserve"> </w:t>
      </w:r>
    </w:p>
    <w:p w14:paraId="0EA2C17C" w14:textId="38520044" w:rsidR="00177D94" w:rsidRPr="00092F4D" w:rsidRDefault="00E541E7" w:rsidP="005030C7">
      <w:pPr>
        <w:pStyle w:val="ListParagraph"/>
        <w:numPr>
          <w:ilvl w:val="0"/>
          <w:numId w:val="5"/>
        </w:numPr>
        <w:jc w:val="both"/>
        <w:rPr>
          <w:rFonts w:ascii="Times New Roman" w:hAnsi="Times New Roman" w:cs="Times New Roman"/>
        </w:rPr>
      </w:pPr>
      <w:r w:rsidRPr="00092F4D">
        <w:rPr>
          <w:rFonts w:ascii="Times New Roman" w:hAnsi="Times New Roman" w:cs="Times New Roman"/>
          <w:b/>
        </w:rPr>
        <w:lastRenderedPageBreak/>
        <w:t>Res</w:t>
      </w:r>
      <w:r w:rsidR="00E078DC" w:rsidRPr="00092F4D">
        <w:rPr>
          <w:rFonts w:ascii="Times New Roman" w:hAnsi="Times New Roman" w:cs="Times New Roman"/>
          <w:b/>
        </w:rPr>
        <w:t>e</w:t>
      </w:r>
      <w:r w:rsidRPr="00092F4D">
        <w:rPr>
          <w:rFonts w:ascii="Times New Roman" w:hAnsi="Times New Roman" w:cs="Times New Roman"/>
          <w:b/>
        </w:rPr>
        <w:t>rvfond</w:t>
      </w:r>
      <w:r w:rsidR="00E078DC" w:rsidRPr="00092F4D">
        <w:rPr>
          <w:rFonts w:ascii="Times New Roman" w:hAnsi="Times New Roman" w:cs="Times New Roman"/>
          <w:b/>
        </w:rPr>
        <w:t xml:space="preserve">, </w:t>
      </w:r>
      <w:r w:rsidR="00E078DC" w:rsidRPr="00092F4D">
        <w:rPr>
          <w:rFonts w:ascii="Times New Roman" w:hAnsi="Times New Roman" w:cs="Times New Roman"/>
        </w:rPr>
        <w:t>millest valitsus teeb eraldisi ettenägematuteks kuludeks,</w:t>
      </w:r>
      <w:r w:rsidRPr="00092F4D">
        <w:rPr>
          <w:rFonts w:ascii="Times New Roman" w:hAnsi="Times New Roman" w:cs="Times New Roman"/>
          <w:b/>
        </w:rPr>
        <w:t xml:space="preserve"> </w:t>
      </w:r>
      <w:r w:rsidRPr="00092F4D">
        <w:rPr>
          <w:rFonts w:ascii="Times New Roman" w:hAnsi="Times New Roman" w:cs="Times New Roman"/>
        </w:rPr>
        <w:t>on 0,1 miljonit eurot</w:t>
      </w:r>
      <w:r w:rsidR="00177D94" w:rsidRPr="00092F4D">
        <w:rPr>
          <w:rFonts w:ascii="Times New Roman" w:hAnsi="Times New Roman" w:cs="Times New Roman"/>
        </w:rPr>
        <w:t xml:space="preserve"> </w:t>
      </w:r>
      <w:r w:rsidRPr="00092F4D">
        <w:rPr>
          <w:rFonts w:ascii="Times New Roman" w:hAnsi="Times New Roman" w:cs="Times New Roman"/>
        </w:rPr>
        <w:t xml:space="preserve">ja moodustab põhitegevuse kuludest </w:t>
      </w:r>
      <w:r w:rsidR="007E210B" w:rsidRPr="00092F4D">
        <w:rPr>
          <w:rFonts w:ascii="Times New Roman" w:hAnsi="Times New Roman" w:cs="Times New Roman"/>
        </w:rPr>
        <w:t>0,</w:t>
      </w:r>
      <w:r w:rsidR="008714C3" w:rsidRPr="00092F4D">
        <w:rPr>
          <w:rFonts w:ascii="Times New Roman" w:hAnsi="Times New Roman" w:cs="Times New Roman"/>
        </w:rPr>
        <w:t>8</w:t>
      </w:r>
      <w:r w:rsidRPr="00092F4D">
        <w:rPr>
          <w:rFonts w:ascii="Times New Roman" w:hAnsi="Times New Roman" w:cs="Times New Roman"/>
        </w:rPr>
        <w:t>%.</w:t>
      </w:r>
    </w:p>
    <w:p w14:paraId="3F663800" w14:textId="7C810C9F" w:rsidR="00F143C6" w:rsidRPr="00092F4D" w:rsidRDefault="00F143C6" w:rsidP="005030C7">
      <w:pPr>
        <w:contextualSpacing/>
        <w:jc w:val="both"/>
        <w:rPr>
          <w:rFonts w:ascii="Times New Roman" w:hAnsi="Times New Roman" w:cs="Times New Roman"/>
        </w:rPr>
      </w:pPr>
      <w:r w:rsidRPr="00092F4D">
        <w:rPr>
          <w:rFonts w:ascii="Times New Roman" w:hAnsi="Times New Roman" w:cs="Times New Roman"/>
        </w:rPr>
        <w:t xml:space="preserve">Majandamis- ja personalikulud tervikuna moodustavad </w:t>
      </w:r>
      <w:r w:rsidR="00A74929" w:rsidRPr="00092F4D">
        <w:rPr>
          <w:rFonts w:ascii="Times New Roman" w:hAnsi="Times New Roman" w:cs="Times New Roman"/>
        </w:rPr>
        <w:t xml:space="preserve">põhitegevuse kuludest </w:t>
      </w:r>
      <w:r w:rsidR="005F01EC" w:rsidRPr="00092F4D">
        <w:rPr>
          <w:rFonts w:ascii="Times New Roman" w:hAnsi="Times New Roman" w:cs="Times New Roman"/>
        </w:rPr>
        <w:t>9</w:t>
      </w:r>
      <w:r w:rsidR="008714C3" w:rsidRPr="00092F4D">
        <w:rPr>
          <w:rFonts w:ascii="Times New Roman" w:hAnsi="Times New Roman" w:cs="Times New Roman"/>
        </w:rPr>
        <w:t>0,7</w:t>
      </w:r>
      <w:r w:rsidRPr="00092F4D">
        <w:rPr>
          <w:rFonts w:ascii="Times New Roman" w:hAnsi="Times New Roman" w:cs="Times New Roman"/>
        </w:rPr>
        <w:t xml:space="preserve">% ehk </w:t>
      </w:r>
      <w:r w:rsidR="000F7F55" w:rsidRPr="00092F4D">
        <w:rPr>
          <w:rFonts w:ascii="Times New Roman" w:hAnsi="Times New Roman" w:cs="Times New Roman"/>
        </w:rPr>
        <w:t>10,</w:t>
      </w:r>
      <w:r w:rsidR="00CC3B8E" w:rsidRPr="00092F4D">
        <w:rPr>
          <w:rFonts w:ascii="Times New Roman" w:hAnsi="Times New Roman" w:cs="Times New Roman"/>
        </w:rPr>
        <w:t>9</w:t>
      </w:r>
      <w:r w:rsidRPr="00092F4D">
        <w:rPr>
          <w:rFonts w:ascii="Times New Roman" w:hAnsi="Times New Roman" w:cs="Times New Roman"/>
        </w:rPr>
        <w:t xml:space="preserve"> miljonit eurot, </w:t>
      </w:r>
      <w:r w:rsidR="00A74929" w:rsidRPr="00092F4D">
        <w:rPr>
          <w:rFonts w:ascii="Times New Roman" w:hAnsi="Times New Roman" w:cs="Times New Roman"/>
        </w:rPr>
        <w:t>kasva</w:t>
      </w:r>
      <w:r w:rsidRPr="00092F4D">
        <w:rPr>
          <w:rFonts w:ascii="Times New Roman" w:hAnsi="Times New Roman" w:cs="Times New Roman"/>
        </w:rPr>
        <w:t xml:space="preserve">des </w:t>
      </w:r>
      <w:r w:rsidR="008714C3" w:rsidRPr="00092F4D">
        <w:rPr>
          <w:rFonts w:ascii="Times New Roman" w:hAnsi="Times New Roman" w:cs="Times New Roman"/>
        </w:rPr>
        <w:t>14</w:t>
      </w:r>
      <w:r w:rsidRPr="00092F4D">
        <w:rPr>
          <w:rFonts w:ascii="Times New Roman" w:hAnsi="Times New Roman" w:cs="Times New Roman"/>
        </w:rPr>
        <w:t>%. Antavad toetused moodusta</w:t>
      </w:r>
      <w:r w:rsidR="00FF22C5" w:rsidRPr="00092F4D">
        <w:rPr>
          <w:rFonts w:ascii="Times New Roman" w:hAnsi="Times New Roman" w:cs="Times New Roman"/>
        </w:rPr>
        <w:t xml:space="preserve">vad </w:t>
      </w:r>
      <w:r w:rsidR="008714C3" w:rsidRPr="00092F4D">
        <w:rPr>
          <w:rFonts w:ascii="Times New Roman" w:hAnsi="Times New Roman" w:cs="Times New Roman"/>
        </w:rPr>
        <w:t>9,3</w:t>
      </w:r>
      <w:r w:rsidRPr="00092F4D">
        <w:rPr>
          <w:rFonts w:ascii="Times New Roman" w:hAnsi="Times New Roman" w:cs="Times New Roman"/>
        </w:rPr>
        <w:t xml:space="preserve">% ehk </w:t>
      </w:r>
      <w:r w:rsidR="008714C3" w:rsidRPr="00092F4D">
        <w:rPr>
          <w:rFonts w:ascii="Times New Roman" w:hAnsi="Times New Roman" w:cs="Times New Roman"/>
        </w:rPr>
        <w:t>1,1</w:t>
      </w:r>
      <w:r w:rsidRPr="00092F4D">
        <w:rPr>
          <w:rFonts w:ascii="Times New Roman" w:hAnsi="Times New Roman" w:cs="Times New Roman"/>
        </w:rPr>
        <w:t xml:space="preserve"> miljon eurot, kasvades </w:t>
      </w:r>
      <w:r w:rsidR="008714C3" w:rsidRPr="00092F4D">
        <w:rPr>
          <w:rFonts w:ascii="Times New Roman" w:hAnsi="Times New Roman" w:cs="Times New Roman"/>
        </w:rPr>
        <w:t>28,5</w:t>
      </w:r>
      <w:r w:rsidRPr="00092F4D">
        <w:rPr>
          <w:rFonts w:ascii="Times New Roman" w:hAnsi="Times New Roman" w:cs="Times New Roman"/>
        </w:rPr>
        <w:t xml:space="preserve">%. </w:t>
      </w:r>
      <w:r w:rsidR="00476DC6" w:rsidRPr="00092F4D">
        <w:rPr>
          <w:rFonts w:ascii="Times New Roman" w:hAnsi="Times New Roman" w:cs="Times New Roman"/>
        </w:rPr>
        <w:t>Kasvanud on nii spordi-</w:t>
      </w:r>
      <w:r w:rsidR="0056227A" w:rsidRPr="00092F4D">
        <w:rPr>
          <w:rFonts w:ascii="Times New Roman" w:hAnsi="Times New Roman" w:cs="Times New Roman"/>
        </w:rPr>
        <w:t xml:space="preserve"> kui ka</w:t>
      </w:r>
      <w:r w:rsidR="00476DC6" w:rsidRPr="00092F4D">
        <w:rPr>
          <w:rFonts w:ascii="Times New Roman" w:hAnsi="Times New Roman" w:cs="Times New Roman"/>
        </w:rPr>
        <w:t xml:space="preserve"> sotsiaal</w:t>
      </w:r>
      <w:r w:rsidR="0056227A" w:rsidRPr="00092F4D">
        <w:rPr>
          <w:rFonts w:ascii="Times New Roman" w:hAnsi="Times New Roman" w:cs="Times New Roman"/>
        </w:rPr>
        <w:t>toetused</w:t>
      </w:r>
      <w:r w:rsidR="008714C3" w:rsidRPr="00092F4D">
        <w:rPr>
          <w:rFonts w:ascii="Times New Roman" w:hAnsi="Times New Roman" w:cs="Times New Roman"/>
        </w:rPr>
        <w:t>.</w:t>
      </w:r>
    </w:p>
    <w:p w14:paraId="4F7F1FA1" w14:textId="13F0B7EB" w:rsidR="00B05C61" w:rsidRDefault="00B05C61" w:rsidP="005030C7">
      <w:pPr>
        <w:pStyle w:val="Joonis"/>
        <w:contextualSpacing/>
        <w:rPr>
          <w:rFonts w:ascii="Times New Roman" w:hAnsi="Times New Roman" w:cs="Times New Roman"/>
        </w:rPr>
      </w:pPr>
    </w:p>
    <w:p w14:paraId="5E10E640" w14:textId="331C2C19" w:rsidR="006D0012" w:rsidRDefault="00897B89" w:rsidP="006D0012">
      <w:pPr>
        <w:pStyle w:val="Joonis"/>
        <w:contextualSpacing/>
        <w:rPr>
          <w:rFonts w:ascii="Times New Roman" w:hAnsi="Times New Roman" w:cs="Times New Roman"/>
        </w:rPr>
      </w:pPr>
      <w:r>
        <w:rPr>
          <w:noProof/>
        </w:rPr>
        <w:drawing>
          <wp:inline distT="0" distB="0" distL="0" distR="0" wp14:anchorId="329D893A" wp14:editId="001E4853">
            <wp:extent cx="6012180" cy="3436620"/>
            <wp:effectExtent l="0" t="0" r="7620" b="11430"/>
            <wp:docPr id="1"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D0012">
        <w:rPr>
          <w:rFonts w:ascii="Times New Roman" w:hAnsi="Times New Roman" w:cs="Times New Roman"/>
        </w:rPr>
        <w:t xml:space="preserve">Joonis </w:t>
      </w:r>
      <w:r w:rsidR="00790C63">
        <w:rPr>
          <w:rFonts w:ascii="Times New Roman" w:hAnsi="Times New Roman" w:cs="Times New Roman"/>
        </w:rPr>
        <w:t>2</w:t>
      </w:r>
      <w:r w:rsidR="006D0012">
        <w:rPr>
          <w:rFonts w:ascii="Times New Roman" w:hAnsi="Times New Roman" w:cs="Times New Roman"/>
        </w:rPr>
        <w:t xml:space="preserve">. Põhitegevuse kulud majandusliku sisu alusel </w:t>
      </w:r>
      <w:proofErr w:type="spellStart"/>
      <w:r w:rsidR="006D0012">
        <w:rPr>
          <w:rFonts w:ascii="Times New Roman" w:hAnsi="Times New Roman" w:cs="Times New Roman"/>
        </w:rPr>
        <w:t>valdkonniti</w:t>
      </w:r>
      <w:proofErr w:type="spellEnd"/>
      <w:r w:rsidR="006D0012">
        <w:rPr>
          <w:rFonts w:ascii="Times New Roman" w:hAnsi="Times New Roman" w:cs="Times New Roman"/>
        </w:rPr>
        <w:t xml:space="preserve"> 20</w:t>
      </w:r>
      <w:r w:rsidR="007C1626">
        <w:rPr>
          <w:rFonts w:ascii="Times New Roman" w:hAnsi="Times New Roman" w:cs="Times New Roman"/>
        </w:rPr>
        <w:t>2</w:t>
      </w:r>
      <w:r w:rsidR="00D40C83">
        <w:rPr>
          <w:rFonts w:ascii="Times New Roman" w:hAnsi="Times New Roman" w:cs="Times New Roman"/>
        </w:rPr>
        <w:t>1</w:t>
      </w:r>
      <w:r w:rsidR="006D0012">
        <w:rPr>
          <w:rFonts w:ascii="Times New Roman" w:hAnsi="Times New Roman" w:cs="Times New Roman"/>
        </w:rPr>
        <w:t>. aastal võrreldes 20</w:t>
      </w:r>
      <w:r w:rsidR="00D40C83">
        <w:rPr>
          <w:rFonts w:ascii="Times New Roman" w:hAnsi="Times New Roman" w:cs="Times New Roman"/>
        </w:rPr>
        <w:t>20</w:t>
      </w:r>
      <w:r w:rsidR="006D0012">
        <w:rPr>
          <w:rFonts w:ascii="Times New Roman" w:hAnsi="Times New Roman" w:cs="Times New Roman"/>
        </w:rPr>
        <w:t>. aasta eelarve täitmisega (tuhat eurot)</w:t>
      </w:r>
    </w:p>
    <w:p w14:paraId="495E0B87" w14:textId="55C09E79" w:rsidR="00B05C61" w:rsidRDefault="00B05C61" w:rsidP="005030C7">
      <w:pPr>
        <w:pStyle w:val="Joonis"/>
        <w:contextualSpacing/>
        <w:rPr>
          <w:rFonts w:ascii="Times New Roman" w:hAnsi="Times New Roman" w:cs="Times New Roman"/>
        </w:rPr>
      </w:pPr>
    </w:p>
    <w:p w14:paraId="598C7859" w14:textId="77777777" w:rsidR="00092F4D" w:rsidRDefault="00092F4D" w:rsidP="005030C7">
      <w:pPr>
        <w:pStyle w:val="Joonis"/>
        <w:contextualSpacing/>
        <w:rPr>
          <w:rFonts w:ascii="Times New Roman" w:hAnsi="Times New Roman" w:cs="Times New Roman"/>
        </w:rPr>
      </w:pPr>
    </w:p>
    <w:p w14:paraId="37ED118F" w14:textId="77777777" w:rsidR="00F143C6" w:rsidRDefault="00090410" w:rsidP="005030C7">
      <w:pPr>
        <w:pStyle w:val="Pealkiri1"/>
        <w:contextualSpacing/>
        <w:jc w:val="both"/>
        <w:rPr>
          <w:rFonts w:ascii="Times New Roman" w:hAnsi="Times New Roman" w:cs="Times New Roman"/>
        </w:rPr>
      </w:pPr>
      <w:r>
        <w:rPr>
          <w:rFonts w:ascii="Times New Roman" w:hAnsi="Times New Roman" w:cs="Times New Roman"/>
        </w:rPr>
        <w:t>I</w:t>
      </w:r>
      <w:r w:rsidR="00F143C6">
        <w:rPr>
          <w:rFonts w:ascii="Times New Roman" w:hAnsi="Times New Roman" w:cs="Times New Roman"/>
        </w:rPr>
        <w:t>nvesteerimistegevus</w:t>
      </w:r>
    </w:p>
    <w:p w14:paraId="1CC77AC9" w14:textId="77777777" w:rsidR="005030C7" w:rsidRDefault="005030C7" w:rsidP="005030C7">
      <w:pPr>
        <w:pStyle w:val="Pealkiri1"/>
        <w:contextualSpacing/>
        <w:jc w:val="both"/>
        <w:rPr>
          <w:rFonts w:ascii="Times New Roman" w:hAnsi="Times New Roman" w:cs="Times New Roman"/>
        </w:rPr>
      </w:pPr>
    </w:p>
    <w:p w14:paraId="2BBE30B6" w14:textId="13186138" w:rsidR="0047454A" w:rsidRPr="00092F4D" w:rsidRDefault="00F143C6" w:rsidP="005030C7">
      <w:pPr>
        <w:contextualSpacing/>
        <w:jc w:val="both"/>
        <w:rPr>
          <w:rFonts w:ascii="Times New Roman" w:hAnsi="Times New Roman" w:cs="Times New Roman"/>
          <w:b/>
        </w:rPr>
      </w:pPr>
      <w:r w:rsidRPr="00092F4D">
        <w:rPr>
          <w:rFonts w:ascii="Times New Roman" w:hAnsi="Times New Roman" w:cs="Times New Roman"/>
          <w:b/>
        </w:rPr>
        <w:t>20</w:t>
      </w:r>
      <w:r w:rsidR="006C0407" w:rsidRPr="00092F4D">
        <w:rPr>
          <w:rFonts w:ascii="Times New Roman" w:hAnsi="Times New Roman" w:cs="Times New Roman"/>
          <w:b/>
        </w:rPr>
        <w:t>2</w:t>
      </w:r>
      <w:r w:rsidR="000F48FD" w:rsidRPr="00092F4D">
        <w:rPr>
          <w:rFonts w:ascii="Times New Roman" w:hAnsi="Times New Roman" w:cs="Times New Roman"/>
          <w:b/>
        </w:rPr>
        <w:t>1</w:t>
      </w:r>
      <w:r w:rsidRPr="00092F4D">
        <w:rPr>
          <w:rFonts w:ascii="Times New Roman" w:hAnsi="Times New Roman" w:cs="Times New Roman"/>
          <w:b/>
        </w:rPr>
        <w:t>.</w:t>
      </w:r>
      <w:r w:rsidR="0005367A" w:rsidRPr="00092F4D">
        <w:rPr>
          <w:rFonts w:ascii="Times New Roman" w:hAnsi="Times New Roman" w:cs="Times New Roman"/>
          <w:b/>
        </w:rPr>
        <w:t xml:space="preserve"> </w:t>
      </w:r>
      <w:r w:rsidRPr="00092F4D">
        <w:rPr>
          <w:rFonts w:ascii="Times New Roman" w:hAnsi="Times New Roman" w:cs="Times New Roman"/>
          <w:b/>
        </w:rPr>
        <w:t>aasta eelarves on planeeritud investeeringukulu</w:t>
      </w:r>
      <w:r w:rsidR="0047454A" w:rsidRPr="00092F4D">
        <w:rPr>
          <w:rFonts w:ascii="Times New Roman" w:hAnsi="Times New Roman" w:cs="Times New Roman"/>
          <w:b/>
        </w:rPr>
        <w:t>si</w:t>
      </w:r>
      <w:r w:rsidRPr="00092F4D">
        <w:rPr>
          <w:rFonts w:ascii="Times New Roman" w:hAnsi="Times New Roman" w:cs="Times New Roman"/>
          <w:b/>
        </w:rPr>
        <w:t xml:space="preserve">d </w:t>
      </w:r>
      <w:r w:rsidR="00630885" w:rsidRPr="00092F4D">
        <w:rPr>
          <w:rFonts w:ascii="Times New Roman" w:hAnsi="Times New Roman" w:cs="Times New Roman"/>
          <w:b/>
        </w:rPr>
        <w:t>7,1</w:t>
      </w:r>
      <w:r w:rsidR="009A3983" w:rsidRPr="00092F4D">
        <w:rPr>
          <w:rFonts w:ascii="Times New Roman" w:hAnsi="Times New Roman" w:cs="Times New Roman"/>
          <w:b/>
        </w:rPr>
        <w:t xml:space="preserve"> </w:t>
      </w:r>
      <w:r w:rsidR="00090410" w:rsidRPr="00092F4D">
        <w:rPr>
          <w:rFonts w:ascii="Times New Roman" w:hAnsi="Times New Roman" w:cs="Times New Roman"/>
          <w:b/>
        </w:rPr>
        <w:t>miljon</w:t>
      </w:r>
      <w:r w:rsidR="00630885" w:rsidRPr="00092F4D">
        <w:rPr>
          <w:rFonts w:ascii="Times New Roman" w:hAnsi="Times New Roman" w:cs="Times New Roman"/>
          <w:b/>
        </w:rPr>
        <w:t>it</w:t>
      </w:r>
      <w:r w:rsidR="00090410" w:rsidRPr="00092F4D">
        <w:rPr>
          <w:rFonts w:ascii="Times New Roman" w:hAnsi="Times New Roman" w:cs="Times New Roman"/>
          <w:b/>
        </w:rPr>
        <w:t xml:space="preserve"> eurot, mis on </w:t>
      </w:r>
      <w:r w:rsidR="00630885" w:rsidRPr="00092F4D">
        <w:rPr>
          <w:rFonts w:ascii="Times New Roman" w:hAnsi="Times New Roman" w:cs="Times New Roman"/>
          <w:b/>
        </w:rPr>
        <w:t>3,5</w:t>
      </w:r>
      <w:r w:rsidR="00090410" w:rsidRPr="00092F4D">
        <w:rPr>
          <w:rFonts w:ascii="Times New Roman" w:hAnsi="Times New Roman" w:cs="Times New Roman"/>
          <w:b/>
        </w:rPr>
        <w:t xml:space="preserve"> </w:t>
      </w:r>
      <w:r w:rsidR="0068142B" w:rsidRPr="00092F4D">
        <w:rPr>
          <w:rFonts w:ascii="Times New Roman" w:hAnsi="Times New Roman" w:cs="Times New Roman"/>
          <w:b/>
        </w:rPr>
        <w:t xml:space="preserve">miljonit eurot </w:t>
      </w:r>
      <w:r w:rsidR="000F48FD" w:rsidRPr="00092F4D">
        <w:rPr>
          <w:rFonts w:ascii="Times New Roman" w:hAnsi="Times New Roman" w:cs="Times New Roman"/>
          <w:b/>
        </w:rPr>
        <w:t>rohkem</w:t>
      </w:r>
      <w:r w:rsidRPr="00092F4D">
        <w:rPr>
          <w:rFonts w:ascii="Times New Roman" w:hAnsi="Times New Roman" w:cs="Times New Roman"/>
          <w:b/>
        </w:rPr>
        <w:t xml:space="preserve"> kui 20</w:t>
      </w:r>
      <w:r w:rsidR="000F48FD" w:rsidRPr="00092F4D">
        <w:rPr>
          <w:rFonts w:ascii="Times New Roman" w:hAnsi="Times New Roman" w:cs="Times New Roman"/>
          <w:b/>
        </w:rPr>
        <w:t>20</w:t>
      </w:r>
      <w:r w:rsidRPr="00092F4D">
        <w:rPr>
          <w:rFonts w:ascii="Times New Roman" w:hAnsi="Times New Roman" w:cs="Times New Roman"/>
          <w:b/>
        </w:rPr>
        <w:t>.</w:t>
      </w:r>
      <w:r w:rsidR="0005367A" w:rsidRPr="00092F4D">
        <w:rPr>
          <w:rFonts w:ascii="Times New Roman" w:hAnsi="Times New Roman" w:cs="Times New Roman"/>
          <w:b/>
        </w:rPr>
        <w:t xml:space="preserve"> </w:t>
      </w:r>
      <w:r w:rsidR="00090410" w:rsidRPr="00092F4D">
        <w:rPr>
          <w:rFonts w:ascii="Times New Roman" w:hAnsi="Times New Roman" w:cs="Times New Roman"/>
          <w:b/>
        </w:rPr>
        <w:t>aasta</w:t>
      </w:r>
      <w:r w:rsidR="00630885" w:rsidRPr="00092F4D">
        <w:rPr>
          <w:rFonts w:ascii="Times New Roman" w:hAnsi="Times New Roman" w:cs="Times New Roman"/>
          <w:b/>
        </w:rPr>
        <w:t xml:space="preserve"> eelarves.</w:t>
      </w:r>
    </w:p>
    <w:p w14:paraId="3A5F78BB" w14:textId="7CF1D9DA" w:rsidR="0068142B" w:rsidRDefault="0068142B" w:rsidP="005030C7">
      <w:pPr>
        <w:contextualSpacing/>
        <w:jc w:val="both"/>
        <w:rPr>
          <w:rFonts w:ascii="Times New Roman" w:hAnsi="Times New Roman" w:cs="Times New Roman"/>
          <w:b/>
        </w:rPr>
      </w:pPr>
    </w:p>
    <w:p w14:paraId="653F7322" w14:textId="77777777" w:rsidR="00092F4D" w:rsidRPr="00092F4D" w:rsidRDefault="00092F4D" w:rsidP="005030C7">
      <w:pPr>
        <w:contextualSpacing/>
        <w:jc w:val="both"/>
        <w:rPr>
          <w:rFonts w:ascii="Times New Roman" w:hAnsi="Times New Roman" w:cs="Times New Roman"/>
          <w:b/>
        </w:rPr>
      </w:pPr>
    </w:p>
    <w:p w14:paraId="7BA763C3" w14:textId="77777777" w:rsidR="00F143C6" w:rsidRPr="00092F4D" w:rsidRDefault="00F143C6" w:rsidP="005030C7">
      <w:pPr>
        <w:contextualSpacing/>
        <w:jc w:val="both"/>
        <w:rPr>
          <w:rFonts w:ascii="Times New Roman" w:hAnsi="Times New Roman" w:cs="Times New Roman"/>
          <w:b/>
        </w:rPr>
      </w:pPr>
      <w:r w:rsidRPr="00092F4D">
        <w:rPr>
          <w:rFonts w:ascii="Times New Roman" w:hAnsi="Times New Roman" w:cs="Times New Roman"/>
          <w:b/>
        </w:rPr>
        <w:t>Investeeringud koosnevad:</w:t>
      </w:r>
    </w:p>
    <w:p w14:paraId="5FAB3B21" w14:textId="7A100219" w:rsidR="004A60A0" w:rsidRPr="00092F4D" w:rsidRDefault="00F143C6" w:rsidP="003B5893">
      <w:pPr>
        <w:pStyle w:val="ListParagraph"/>
        <w:numPr>
          <w:ilvl w:val="0"/>
          <w:numId w:val="10"/>
        </w:numPr>
        <w:jc w:val="both"/>
        <w:rPr>
          <w:rFonts w:ascii="Times New Roman" w:hAnsi="Times New Roman" w:cs="Times New Roman"/>
        </w:rPr>
      </w:pPr>
      <w:r w:rsidRPr="00092F4D">
        <w:rPr>
          <w:rFonts w:ascii="Times New Roman" w:hAnsi="Times New Roman" w:cs="Times New Roman"/>
          <w:b/>
        </w:rPr>
        <w:t>Põhivara soetusest</w:t>
      </w:r>
      <w:r w:rsidRPr="00092F4D">
        <w:rPr>
          <w:rFonts w:ascii="Times New Roman" w:hAnsi="Times New Roman" w:cs="Times New Roman"/>
          <w:b/>
          <w:bCs/>
        </w:rPr>
        <w:t xml:space="preserve">, mis moodustab </w:t>
      </w:r>
      <w:r w:rsidR="00630885" w:rsidRPr="00092F4D">
        <w:rPr>
          <w:rFonts w:ascii="Times New Roman" w:hAnsi="Times New Roman" w:cs="Times New Roman"/>
          <w:b/>
          <w:bCs/>
        </w:rPr>
        <w:t>77,5</w:t>
      </w:r>
      <w:r w:rsidR="0005367A" w:rsidRPr="00092F4D">
        <w:rPr>
          <w:rFonts w:ascii="Times New Roman" w:hAnsi="Times New Roman" w:cs="Times New Roman"/>
          <w:b/>
          <w:bCs/>
        </w:rPr>
        <w:t>%</w:t>
      </w:r>
      <w:r w:rsidRPr="00092F4D">
        <w:rPr>
          <w:rFonts w:ascii="Times New Roman" w:hAnsi="Times New Roman" w:cs="Times New Roman"/>
          <w:b/>
          <w:bCs/>
        </w:rPr>
        <w:t xml:space="preserve"> ehk </w:t>
      </w:r>
      <w:r w:rsidR="009A3983" w:rsidRPr="00092F4D">
        <w:rPr>
          <w:rFonts w:ascii="Times New Roman" w:hAnsi="Times New Roman" w:cs="Times New Roman"/>
          <w:b/>
          <w:bCs/>
        </w:rPr>
        <w:t>5,5</w:t>
      </w:r>
      <w:r w:rsidRPr="00092F4D">
        <w:rPr>
          <w:rFonts w:ascii="Times New Roman" w:hAnsi="Times New Roman" w:cs="Times New Roman"/>
          <w:b/>
          <w:bCs/>
        </w:rPr>
        <w:t xml:space="preserve"> miljonit eurot</w:t>
      </w:r>
      <w:r w:rsidR="004A60A0" w:rsidRPr="00092F4D">
        <w:rPr>
          <w:rFonts w:ascii="Times New Roman" w:hAnsi="Times New Roman" w:cs="Times New Roman"/>
          <w:b/>
          <w:bCs/>
        </w:rPr>
        <w:t>.</w:t>
      </w:r>
      <w:r w:rsidR="004A60A0" w:rsidRPr="00092F4D">
        <w:rPr>
          <w:rFonts w:ascii="Times New Roman" w:hAnsi="Times New Roman" w:cs="Times New Roman"/>
        </w:rPr>
        <w:t xml:space="preserve"> </w:t>
      </w:r>
    </w:p>
    <w:p w14:paraId="4708549A" w14:textId="45A7EB11" w:rsidR="00F143C6" w:rsidRPr="00092F4D" w:rsidRDefault="00F143C6" w:rsidP="005030C7">
      <w:pPr>
        <w:pStyle w:val="ListParagraph"/>
        <w:ind w:left="1481"/>
        <w:jc w:val="both"/>
        <w:rPr>
          <w:rFonts w:ascii="Times New Roman" w:hAnsi="Times New Roman" w:cs="Times New Roman"/>
        </w:rPr>
      </w:pPr>
      <w:r w:rsidRPr="00092F4D">
        <w:rPr>
          <w:rFonts w:ascii="Times New Roman" w:hAnsi="Times New Roman" w:cs="Times New Roman"/>
        </w:rPr>
        <w:t>Suurimad investeeringuobjektid on:</w:t>
      </w:r>
    </w:p>
    <w:p w14:paraId="25A27C34" w14:textId="0757C51C" w:rsidR="00F143C6" w:rsidRPr="000B73EA" w:rsidRDefault="00630048" w:rsidP="005030C7">
      <w:pPr>
        <w:pStyle w:val="ListParagraph"/>
        <w:numPr>
          <w:ilvl w:val="2"/>
          <w:numId w:val="7"/>
        </w:numPr>
        <w:jc w:val="both"/>
        <w:rPr>
          <w:rFonts w:ascii="Times New Roman" w:hAnsi="Times New Roman" w:cs="Times New Roman"/>
          <w:bCs/>
        </w:rPr>
      </w:pPr>
      <w:proofErr w:type="spellStart"/>
      <w:r w:rsidRPr="000B73EA">
        <w:rPr>
          <w:rFonts w:ascii="Times New Roman" w:hAnsi="Times New Roman" w:cs="Times New Roman"/>
          <w:bCs/>
        </w:rPr>
        <w:t>Aespa</w:t>
      </w:r>
      <w:proofErr w:type="spellEnd"/>
      <w:r w:rsidRPr="000B73EA">
        <w:rPr>
          <w:rFonts w:ascii="Times New Roman" w:hAnsi="Times New Roman" w:cs="Times New Roman"/>
          <w:bCs/>
        </w:rPr>
        <w:t xml:space="preserve"> lasteaia </w:t>
      </w:r>
      <w:r w:rsidR="00E36880" w:rsidRPr="000B73EA">
        <w:rPr>
          <w:rFonts w:ascii="Times New Roman" w:hAnsi="Times New Roman" w:cs="Times New Roman"/>
          <w:bCs/>
        </w:rPr>
        <w:t>I etapi</w:t>
      </w:r>
      <w:r w:rsidRPr="000B73EA">
        <w:rPr>
          <w:rFonts w:ascii="Times New Roman" w:hAnsi="Times New Roman" w:cs="Times New Roman"/>
          <w:bCs/>
        </w:rPr>
        <w:t xml:space="preserve"> ehitus </w:t>
      </w:r>
      <w:r w:rsidR="00E36880" w:rsidRPr="000B73EA">
        <w:rPr>
          <w:rFonts w:ascii="Times New Roman" w:hAnsi="Times New Roman" w:cs="Times New Roman"/>
          <w:bCs/>
        </w:rPr>
        <w:t>1,4</w:t>
      </w:r>
      <w:r w:rsidRPr="000B73EA">
        <w:rPr>
          <w:rFonts w:ascii="Times New Roman" w:hAnsi="Times New Roman" w:cs="Times New Roman"/>
          <w:bCs/>
        </w:rPr>
        <w:t xml:space="preserve"> miljon eurot</w:t>
      </w:r>
      <w:r w:rsidR="004A60A0" w:rsidRPr="000B73EA">
        <w:rPr>
          <w:rFonts w:ascii="Times New Roman" w:hAnsi="Times New Roman" w:cs="Times New Roman"/>
          <w:bCs/>
        </w:rPr>
        <w:t>;</w:t>
      </w:r>
    </w:p>
    <w:p w14:paraId="5739D0D3" w14:textId="58FF7A53" w:rsidR="00E36880" w:rsidRPr="000B73EA" w:rsidRDefault="00E36880" w:rsidP="009A3983">
      <w:pPr>
        <w:pStyle w:val="ListParagraph"/>
        <w:numPr>
          <w:ilvl w:val="2"/>
          <w:numId w:val="7"/>
        </w:numPr>
        <w:jc w:val="both"/>
        <w:rPr>
          <w:rFonts w:ascii="Times New Roman" w:hAnsi="Times New Roman" w:cs="Times New Roman"/>
          <w:bCs/>
        </w:rPr>
      </w:pPr>
      <w:r w:rsidRPr="000B73EA">
        <w:rPr>
          <w:rFonts w:ascii="Times New Roman" w:hAnsi="Times New Roman" w:cs="Times New Roman"/>
          <w:bCs/>
        </w:rPr>
        <w:t>Teede ja tänavate rekonstrueerimine 1,5 miljon eurot</w:t>
      </w:r>
      <w:r w:rsidR="00630885" w:rsidRPr="000B73EA">
        <w:rPr>
          <w:rFonts w:ascii="Times New Roman" w:hAnsi="Times New Roman" w:cs="Times New Roman"/>
          <w:bCs/>
        </w:rPr>
        <w:t>;</w:t>
      </w:r>
    </w:p>
    <w:p w14:paraId="71CD3042" w14:textId="7BB39DE4" w:rsidR="00E36880" w:rsidRPr="000B73EA" w:rsidRDefault="00E36880" w:rsidP="00E36880">
      <w:pPr>
        <w:pStyle w:val="ListParagraph"/>
        <w:numPr>
          <w:ilvl w:val="2"/>
          <w:numId w:val="7"/>
        </w:numPr>
        <w:jc w:val="both"/>
        <w:rPr>
          <w:rFonts w:ascii="Times New Roman" w:hAnsi="Times New Roman" w:cs="Times New Roman"/>
          <w:bCs/>
        </w:rPr>
      </w:pPr>
      <w:r w:rsidRPr="000B73EA">
        <w:rPr>
          <w:rFonts w:ascii="Times New Roman" w:hAnsi="Times New Roman" w:cs="Times New Roman"/>
          <w:bCs/>
        </w:rPr>
        <w:t>Valla tänavavalgustuse taristu rekonstrueerimine omaosalusega 0,15 miljonit eurot, toetus 0,13 miljonit eurot;</w:t>
      </w:r>
    </w:p>
    <w:p w14:paraId="23524347" w14:textId="7912AAF7" w:rsidR="00E36880" w:rsidRPr="000B73EA" w:rsidRDefault="00E36880" w:rsidP="005030C7">
      <w:pPr>
        <w:pStyle w:val="ListParagraph"/>
        <w:numPr>
          <w:ilvl w:val="2"/>
          <w:numId w:val="7"/>
        </w:numPr>
        <w:jc w:val="both"/>
        <w:rPr>
          <w:rFonts w:ascii="Times New Roman" w:hAnsi="Times New Roman" w:cs="Times New Roman"/>
          <w:bCs/>
        </w:rPr>
      </w:pPr>
      <w:r w:rsidRPr="000B73EA">
        <w:rPr>
          <w:rFonts w:ascii="Times New Roman" w:hAnsi="Times New Roman" w:cs="Times New Roman"/>
          <w:bCs/>
        </w:rPr>
        <w:t xml:space="preserve">Staadioni rekonstrueerimine </w:t>
      </w:r>
      <w:r w:rsidR="00630885" w:rsidRPr="000B73EA">
        <w:rPr>
          <w:rFonts w:ascii="Times New Roman" w:hAnsi="Times New Roman" w:cs="Times New Roman"/>
          <w:bCs/>
        </w:rPr>
        <w:t>o</w:t>
      </w:r>
      <w:r w:rsidRPr="000B73EA">
        <w:rPr>
          <w:rFonts w:ascii="Times New Roman" w:hAnsi="Times New Roman" w:cs="Times New Roman"/>
          <w:bCs/>
        </w:rPr>
        <w:t>maosalusega 0,13 miljonit eurot, toetus 0,08 miljonit eurot;</w:t>
      </w:r>
    </w:p>
    <w:p w14:paraId="05419EFA" w14:textId="21E9FDE7" w:rsidR="00E36880" w:rsidRPr="000B73EA" w:rsidRDefault="00E36880" w:rsidP="005030C7">
      <w:pPr>
        <w:pStyle w:val="ListParagraph"/>
        <w:numPr>
          <w:ilvl w:val="2"/>
          <w:numId w:val="7"/>
        </w:numPr>
        <w:jc w:val="both"/>
        <w:rPr>
          <w:rFonts w:ascii="Times New Roman" w:hAnsi="Times New Roman" w:cs="Times New Roman"/>
          <w:bCs/>
        </w:rPr>
      </w:pPr>
      <w:r w:rsidRPr="000B73EA">
        <w:rPr>
          <w:rFonts w:ascii="Times New Roman" w:hAnsi="Times New Roman" w:cs="Times New Roman"/>
          <w:bCs/>
        </w:rPr>
        <w:t>Gümnaasiu</w:t>
      </w:r>
      <w:r w:rsidR="00630885" w:rsidRPr="000B73EA">
        <w:rPr>
          <w:rFonts w:ascii="Times New Roman" w:hAnsi="Times New Roman" w:cs="Times New Roman"/>
          <w:bCs/>
        </w:rPr>
        <w:t>mi</w:t>
      </w:r>
      <w:r w:rsidRPr="000B73EA">
        <w:rPr>
          <w:rFonts w:ascii="Times New Roman" w:hAnsi="Times New Roman" w:cs="Times New Roman"/>
          <w:bCs/>
        </w:rPr>
        <w:t xml:space="preserve"> vana osa rekonstrueerimine 0,5 miljonit eurot;</w:t>
      </w:r>
    </w:p>
    <w:p w14:paraId="6A1B9FF4" w14:textId="7B79C100" w:rsidR="009A3983" w:rsidRPr="000B73EA" w:rsidRDefault="0068142B" w:rsidP="009A3983">
      <w:pPr>
        <w:pStyle w:val="ListParagraph"/>
        <w:numPr>
          <w:ilvl w:val="2"/>
          <w:numId w:val="7"/>
        </w:numPr>
        <w:jc w:val="both"/>
        <w:rPr>
          <w:rFonts w:ascii="Times New Roman" w:hAnsi="Times New Roman" w:cs="Times New Roman"/>
          <w:bCs/>
        </w:rPr>
      </w:pPr>
      <w:r w:rsidRPr="000B73EA">
        <w:rPr>
          <w:rFonts w:ascii="Times New Roman" w:hAnsi="Times New Roman" w:cs="Times New Roman"/>
          <w:bCs/>
        </w:rPr>
        <w:t xml:space="preserve">Kohila Männi lasteaia </w:t>
      </w:r>
      <w:r w:rsidR="00525BBF" w:rsidRPr="000B73EA">
        <w:rPr>
          <w:rFonts w:ascii="Times New Roman" w:hAnsi="Times New Roman" w:cs="Times New Roman"/>
          <w:bCs/>
        </w:rPr>
        <w:t>r</w:t>
      </w:r>
      <w:r w:rsidRPr="000B73EA">
        <w:rPr>
          <w:rFonts w:ascii="Times New Roman" w:hAnsi="Times New Roman" w:cs="Times New Roman"/>
          <w:bCs/>
        </w:rPr>
        <w:t xml:space="preserve">ekonstrueerimine </w:t>
      </w:r>
      <w:r w:rsidR="00630048" w:rsidRPr="000B73EA">
        <w:rPr>
          <w:rFonts w:ascii="Times New Roman" w:hAnsi="Times New Roman" w:cs="Times New Roman"/>
          <w:bCs/>
        </w:rPr>
        <w:t>0,</w:t>
      </w:r>
      <w:r w:rsidR="009A3983" w:rsidRPr="000B73EA">
        <w:rPr>
          <w:rFonts w:ascii="Times New Roman" w:hAnsi="Times New Roman" w:cs="Times New Roman"/>
          <w:bCs/>
        </w:rPr>
        <w:t>3</w:t>
      </w:r>
      <w:r w:rsidR="00B07300" w:rsidRPr="000B73EA">
        <w:rPr>
          <w:rFonts w:ascii="Times New Roman" w:hAnsi="Times New Roman" w:cs="Times New Roman"/>
          <w:bCs/>
        </w:rPr>
        <w:t xml:space="preserve"> miljonit eurot;</w:t>
      </w:r>
    </w:p>
    <w:p w14:paraId="2F735329" w14:textId="493F36B0" w:rsidR="00F143C6" w:rsidRPr="00092F4D" w:rsidRDefault="009A3983" w:rsidP="003B5893">
      <w:pPr>
        <w:pStyle w:val="ListParagraph"/>
        <w:numPr>
          <w:ilvl w:val="0"/>
          <w:numId w:val="10"/>
        </w:numPr>
        <w:jc w:val="both"/>
        <w:rPr>
          <w:rFonts w:ascii="Times New Roman" w:hAnsi="Times New Roman" w:cs="Times New Roman"/>
          <w:b/>
        </w:rPr>
      </w:pPr>
      <w:r w:rsidRPr="00092F4D">
        <w:rPr>
          <w:rFonts w:ascii="Times New Roman" w:hAnsi="Times New Roman" w:cs="Times New Roman"/>
          <w:b/>
        </w:rPr>
        <w:lastRenderedPageBreak/>
        <w:t>Kohila Maja osakapitali suurendami</w:t>
      </w:r>
      <w:r w:rsidR="00525BBF" w:rsidRPr="00092F4D">
        <w:rPr>
          <w:rFonts w:ascii="Times New Roman" w:hAnsi="Times New Roman" w:cs="Times New Roman"/>
          <w:b/>
        </w:rPr>
        <w:t xml:space="preserve">sest </w:t>
      </w:r>
      <w:r w:rsidRPr="00092F4D">
        <w:rPr>
          <w:rFonts w:ascii="Times New Roman" w:hAnsi="Times New Roman" w:cs="Times New Roman"/>
          <w:b/>
        </w:rPr>
        <w:t>1,6 miljonit euro</w:t>
      </w:r>
      <w:r w:rsidR="00525BBF" w:rsidRPr="00092F4D">
        <w:rPr>
          <w:rFonts w:ascii="Times New Roman" w:hAnsi="Times New Roman" w:cs="Times New Roman"/>
          <w:b/>
        </w:rPr>
        <w:t>t</w:t>
      </w:r>
    </w:p>
    <w:p w14:paraId="6621E824" w14:textId="44A3AB92" w:rsidR="009A3983" w:rsidRPr="00092F4D" w:rsidRDefault="009A3983" w:rsidP="003B5893">
      <w:pPr>
        <w:pStyle w:val="ListParagraph"/>
        <w:numPr>
          <w:ilvl w:val="0"/>
          <w:numId w:val="10"/>
        </w:numPr>
        <w:jc w:val="both"/>
        <w:rPr>
          <w:rFonts w:ascii="Times New Roman" w:hAnsi="Times New Roman" w:cs="Times New Roman"/>
          <w:b/>
        </w:rPr>
      </w:pPr>
      <w:r w:rsidRPr="00092F4D">
        <w:rPr>
          <w:rFonts w:ascii="Times New Roman" w:hAnsi="Times New Roman" w:cs="Times New Roman"/>
          <w:b/>
        </w:rPr>
        <w:t>Intressikuludest 0,06 miljonit eurot</w:t>
      </w:r>
    </w:p>
    <w:p w14:paraId="764A2282" w14:textId="322375AD" w:rsidR="00F143C6" w:rsidRPr="00092F4D" w:rsidRDefault="00F143C6" w:rsidP="005030C7">
      <w:pPr>
        <w:contextualSpacing/>
        <w:jc w:val="both"/>
        <w:rPr>
          <w:rFonts w:ascii="Times New Roman" w:hAnsi="Times New Roman" w:cs="Times New Roman"/>
        </w:rPr>
      </w:pPr>
      <w:r w:rsidRPr="00092F4D">
        <w:rPr>
          <w:rFonts w:ascii="Times New Roman" w:hAnsi="Times New Roman" w:cs="Times New Roman"/>
        </w:rPr>
        <w:t xml:space="preserve">Investeeringuid finantseeritakse  </w:t>
      </w:r>
      <w:r w:rsidR="007E5BBA" w:rsidRPr="00092F4D">
        <w:rPr>
          <w:rFonts w:ascii="Times New Roman" w:hAnsi="Times New Roman" w:cs="Times New Roman"/>
        </w:rPr>
        <w:t>investeeri</w:t>
      </w:r>
      <w:r w:rsidR="00A23835" w:rsidRPr="00092F4D">
        <w:rPr>
          <w:rFonts w:ascii="Times New Roman" w:hAnsi="Times New Roman" w:cs="Times New Roman"/>
        </w:rPr>
        <w:t>ngutoetustest</w:t>
      </w:r>
      <w:r w:rsidR="007E5BBA" w:rsidRPr="00092F4D">
        <w:rPr>
          <w:rFonts w:ascii="Times New Roman" w:hAnsi="Times New Roman" w:cs="Times New Roman"/>
        </w:rPr>
        <w:t xml:space="preserve"> (</w:t>
      </w:r>
      <w:r w:rsidR="00BF7FF3" w:rsidRPr="00092F4D">
        <w:rPr>
          <w:rFonts w:ascii="Times New Roman" w:hAnsi="Times New Roman" w:cs="Times New Roman"/>
        </w:rPr>
        <w:t>0,</w:t>
      </w:r>
      <w:r w:rsidR="003614BE" w:rsidRPr="00092F4D">
        <w:rPr>
          <w:rFonts w:ascii="Times New Roman" w:hAnsi="Times New Roman" w:cs="Times New Roman"/>
        </w:rPr>
        <w:t xml:space="preserve">6 </w:t>
      </w:r>
      <w:r w:rsidR="007E5BBA" w:rsidRPr="00092F4D">
        <w:rPr>
          <w:rFonts w:ascii="Times New Roman" w:hAnsi="Times New Roman" w:cs="Times New Roman"/>
        </w:rPr>
        <w:t xml:space="preserve">miljonit eurot), </w:t>
      </w:r>
      <w:r w:rsidR="008C4C94" w:rsidRPr="00092F4D">
        <w:rPr>
          <w:rFonts w:ascii="Times New Roman" w:hAnsi="Times New Roman" w:cs="Times New Roman"/>
        </w:rPr>
        <w:t>likviidsete varade arvelt (</w:t>
      </w:r>
      <w:r w:rsidR="003614BE" w:rsidRPr="00092F4D">
        <w:rPr>
          <w:rFonts w:ascii="Times New Roman" w:hAnsi="Times New Roman" w:cs="Times New Roman"/>
        </w:rPr>
        <w:t>2,</w:t>
      </w:r>
      <w:r w:rsidR="000B73EA">
        <w:rPr>
          <w:rFonts w:ascii="Times New Roman" w:hAnsi="Times New Roman" w:cs="Times New Roman"/>
        </w:rPr>
        <w:t>4</w:t>
      </w:r>
      <w:r w:rsidR="003614BE" w:rsidRPr="00092F4D">
        <w:rPr>
          <w:rFonts w:ascii="Times New Roman" w:hAnsi="Times New Roman" w:cs="Times New Roman"/>
        </w:rPr>
        <w:t xml:space="preserve"> </w:t>
      </w:r>
      <w:r w:rsidR="00BF7F88" w:rsidRPr="00092F4D">
        <w:rPr>
          <w:rFonts w:ascii="Times New Roman" w:hAnsi="Times New Roman" w:cs="Times New Roman"/>
        </w:rPr>
        <w:t>miljonit eurot)</w:t>
      </w:r>
      <w:r w:rsidRPr="00092F4D">
        <w:rPr>
          <w:rFonts w:ascii="Times New Roman" w:hAnsi="Times New Roman" w:cs="Times New Roman"/>
        </w:rPr>
        <w:t xml:space="preserve">, võetud uue laenu </w:t>
      </w:r>
      <w:r w:rsidR="006F4B8E" w:rsidRPr="00092F4D">
        <w:rPr>
          <w:rFonts w:ascii="Times New Roman" w:hAnsi="Times New Roman" w:cs="Times New Roman"/>
        </w:rPr>
        <w:t xml:space="preserve">arvelt </w:t>
      </w:r>
      <w:r w:rsidRPr="00092F4D">
        <w:rPr>
          <w:rFonts w:ascii="Times New Roman" w:hAnsi="Times New Roman" w:cs="Times New Roman"/>
        </w:rPr>
        <w:t>(</w:t>
      </w:r>
      <w:r w:rsidR="003614BE" w:rsidRPr="00092F4D">
        <w:rPr>
          <w:rFonts w:ascii="Times New Roman" w:hAnsi="Times New Roman" w:cs="Times New Roman"/>
        </w:rPr>
        <w:t xml:space="preserve">4,1 </w:t>
      </w:r>
      <w:r w:rsidRPr="00092F4D">
        <w:rPr>
          <w:rFonts w:ascii="Times New Roman" w:hAnsi="Times New Roman" w:cs="Times New Roman"/>
        </w:rPr>
        <w:t>miljonit eurot)</w:t>
      </w:r>
      <w:r w:rsidR="00A23835" w:rsidRPr="00092F4D">
        <w:rPr>
          <w:rFonts w:ascii="Times New Roman" w:hAnsi="Times New Roman" w:cs="Times New Roman"/>
        </w:rPr>
        <w:t>.</w:t>
      </w:r>
      <w:r w:rsidRPr="00092F4D">
        <w:rPr>
          <w:rFonts w:ascii="Times New Roman" w:hAnsi="Times New Roman" w:cs="Times New Roman"/>
        </w:rPr>
        <w:t xml:space="preserve"> </w:t>
      </w:r>
    </w:p>
    <w:p w14:paraId="55E9246A" w14:textId="6C26E241" w:rsidR="00955A7A" w:rsidRDefault="00955A7A" w:rsidP="005030C7">
      <w:pPr>
        <w:contextualSpacing/>
        <w:jc w:val="both"/>
        <w:rPr>
          <w:rFonts w:ascii="Times New Roman" w:hAnsi="Times New Roman" w:cs="Times New Roman"/>
          <w:sz w:val="20"/>
          <w:szCs w:val="20"/>
        </w:rPr>
      </w:pPr>
    </w:p>
    <w:p w14:paraId="2AC2D019" w14:textId="0EB62BEC" w:rsidR="00955A7A" w:rsidRDefault="00955A7A" w:rsidP="005030C7">
      <w:pPr>
        <w:contextualSpacing/>
        <w:jc w:val="both"/>
        <w:rPr>
          <w:rFonts w:ascii="Times New Roman" w:hAnsi="Times New Roman" w:cs="Times New Roman"/>
          <w:sz w:val="20"/>
          <w:szCs w:val="20"/>
        </w:rPr>
      </w:pPr>
    </w:p>
    <w:p w14:paraId="7DBFB23B" w14:textId="4F51B1EE" w:rsidR="00955A7A" w:rsidRDefault="00955A7A" w:rsidP="005030C7">
      <w:pPr>
        <w:contextualSpacing/>
        <w:jc w:val="both"/>
        <w:rPr>
          <w:rFonts w:ascii="Times New Roman" w:hAnsi="Times New Roman" w:cs="Times New Roman"/>
          <w:sz w:val="20"/>
          <w:szCs w:val="20"/>
        </w:rPr>
      </w:pPr>
    </w:p>
    <w:p w14:paraId="0C23C8D6" w14:textId="10B0573B" w:rsidR="000F48FD" w:rsidRDefault="00CC3B8E" w:rsidP="005030C7">
      <w:pPr>
        <w:contextualSpacing/>
        <w:jc w:val="both"/>
        <w:rPr>
          <w:noProof/>
        </w:rPr>
      </w:pPr>
      <w:r>
        <w:rPr>
          <w:noProof/>
        </w:rPr>
        <w:drawing>
          <wp:inline distT="0" distB="0" distL="0" distR="0" wp14:anchorId="580F29E1" wp14:editId="2A60F23B">
            <wp:extent cx="5966460" cy="3322955"/>
            <wp:effectExtent l="0" t="0" r="15240" b="10795"/>
            <wp:docPr id="4" name="Chart 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25891B" w14:textId="591994A7" w:rsidR="008339F8" w:rsidRDefault="00F8111E" w:rsidP="00955A7A">
      <w:pPr>
        <w:pStyle w:val="Joonis"/>
        <w:spacing w:after="100" w:afterAutospacing="1"/>
        <w:contextualSpacing/>
        <w:rPr>
          <w:rFonts w:ascii="Times New Roman" w:hAnsi="Times New Roman" w:cs="Times New Roman"/>
        </w:rPr>
      </w:pPr>
      <w:r>
        <w:rPr>
          <w:rFonts w:ascii="Times New Roman" w:hAnsi="Times New Roman" w:cs="Times New Roman"/>
        </w:rPr>
        <w:t xml:space="preserve">Joonis </w:t>
      </w:r>
      <w:r w:rsidR="00092D27">
        <w:rPr>
          <w:rFonts w:ascii="Times New Roman" w:hAnsi="Times New Roman" w:cs="Times New Roman"/>
        </w:rPr>
        <w:t>3</w:t>
      </w:r>
      <w:r>
        <w:rPr>
          <w:rFonts w:ascii="Times New Roman" w:hAnsi="Times New Roman" w:cs="Times New Roman"/>
        </w:rPr>
        <w:t>. Investeeringud valdkondade ja finantseerimisallikate kaupa (tuhat eurot)</w:t>
      </w:r>
    </w:p>
    <w:p w14:paraId="18033902" w14:textId="77777777" w:rsidR="008339F8" w:rsidRDefault="008339F8" w:rsidP="008339F8">
      <w:pPr>
        <w:pStyle w:val="Joonis"/>
        <w:contextualSpacing/>
        <w:rPr>
          <w:rFonts w:ascii="Times New Roman" w:hAnsi="Times New Roman" w:cs="Times New Roman"/>
        </w:rPr>
      </w:pPr>
    </w:p>
    <w:p w14:paraId="4D2A0EFA" w14:textId="77777777" w:rsidR="00253B52" w:rsidRDefault="00253B52" w:rsidP="008339F8">
      <w:pPr>
        <w:pStyle w:val="Joonis"/>
        <w:contextualSpacing/>
        <w:rPr>
          <w:rFonts w:ascii="Times New Roman" w:hAnsi="Times New Roman" w:cs="Times New Roman"/>
        </w:rPr>
      </w:pPr>
    </w:p>
    <w:p w14:paraId="0ECDFE36" w14:textId="09AD01C8" w:rsidR="00F143C6" w:rsidRPr="00B901A4" w:rsidRDefault="00F143C6" w:rsidP="008339F8">
      <w:pPr>
        <w:pStyle w:val="Joonis"/>
        <w:contextualSpacing/>
        <w:rPr>
          <w:rFonts w:ascii="Times New Roman" w:hAnsi="Times New Roman" w:cs="Times New Roman"/>
          <w:sz w:val="24"/>
          <w:szCs w:val="24"/>
        </w:rPr>
      </w:pPr>
      <w:r w:rsidRPr="00B901A4">
        <w:rPr>
          <w:rFonts w:ascii="Times New Roman" w:hAnsi="Times New Roman" w:cs="Times New Roman"/>
          <w:sz w:val="24"/>
          <w:szCs w:val="24"/>
        </w:rPr>
        <w:t>Finantsseis</w:t>
      </w:r>
    </w:p>
    <w:p w14:paraId="7FC13FDF" w14:textId="5C64AE2B" w:rsidR="00CC3B8E" w:rsidRPr="00B901A4" w:rsidRDefault="00CC3B8E" w:rsidP="005030C7">
      <w:pPr>
        <w:pStyle w:val="ListParagraph"/>
        <w:numPr>
          <w:ilvl w:val="0"/>
          <w:numId w:val="8"/>
        </w:numPr>
        <w:jc w:val="both"/>
        <w:rPr>
          <w:rFonts w:ascii="Times New Roman" w:hAnsi="Times New Roman" w:cs="Times New Roman"/>
          <w:b/>
        </w:rPr>
      </w:pPr>
      <w:proofErr w:type="spellStart"/>
      <w:r w:rsidRPr="00B901A4">
        <w:rPr>
          <w:rFonts w:ascii="Times New Roman" w:eastAsia="Calibri" w:hAnsi="Times New Roman" w:cs="Times New Roman"/>
          <w:b/>
        </w:rPr>
        <w:t>omafinantseerimisvõime</w:t>
      </w:r>
      <w:proofErr w:type="spellEnd"/>
      <w:r w:rsidRPr="00B901A4">
        <w:rPr>
          <w:rFonts w:ascii="Times New Roman" w:eastAsia="Calibri" w:hAnsi="Times New Roman" w:cs="Times New Roman"/>
          <w:b/>
        </w:rPr>
        <w:t xml:space="preserve"> </w:t>
      </w:r>
      <w:r w:rsidRPr="00B901A4">
        <w:rPr>
          <w:rFonts w:ascii="Times New Roman" w:eastAsia="Calibri" w:hAnsi="Times New Roman" w:cs="Times New Roman"/>
        </w:rPr>
        <w:t>ehk põhitegevuse tulude ja põhitegevuse kulude vahe oli  2020.a. 2</w:t>
      </w:r>
      <w:r w:rsidR="00B901A4" w:rsidRPr="00B901A4">
        <w:rPr>
          <w:rFonts w:ascii="Times New Roman" w:eastAsia="Calibri" w:hAnsi="Times New Roman" w:cs="Times New Roman"/>
        </w:rPr>
        <w:t>,5 miljonit eurot, 2021.a. 0,5</w:t>
      </w:r>
      <w:r w:rsidRPr="00B901A4">
        <w:rPr>
          <w:rFonts w:ascii="Times New Roman" w:eastAsia="Calibri" w:hAnsi="Times New Roman" w:cs="Times New Roman"/>
        </w:rPr>
        <w:t xml:space="preserve"> miljonit eurot</w:t>
      </w:r>
      <w:r w:rsidR="00B901A4" w:rsidRPr="00B901A4">
        <w:rPr>
          <w:rFonts w:ascii="Times New Roman" w:eastAsia="Calibri" w:hAnsi="Times New Roman" w:cs="Times New Roman"/>
        </w:rPr>
        <w:t xml:space="preserve">.  </w:t>
      </w:r>
    </w:p>
    <w:p w14:paraId="3C8CE834" w14:textId="33C3C683" w:rsidR="00F143C6" w:rsidRPr="00B901A4" w:rsidRDefault="00F143C6" w:rsidP="005030C7">
      <w:pPr>
        <w:pStyle w:val="ListParagraph"/>
        <w:numPr>
          <w:ilvl w:val="0"/>
          <w:numId w:val="8"/>
        </w:numPr>
        <w:jc w:val="both"/>
        <w:rPr>
          <w:rFonts w:ascii="Times New Roman" w:hAnsi="Times New Roman" w:cs="Times New Roman"/>
          <w:b/>
        </w:rPr>
      </w:pPr>
      <w:r w:rsidRPr="00B901A4">
        <w:rPr>
          <w:rFonts w:ascii="Times New Roman" w:hAnsi="Times New Roman" w:cs="Times New Roman"/>
          <w:b/>
        </w:rPr>
        <w:t xml:space="preserve">netovõlakoormus </w:t>
      </w:r>
      <w:r w:rsidRPr="00B901A4">
        <w:rPr>
          <w:rFonts w:ascii="Times New Roman" w:hAnsi="Times New Roman" w:cs="Times New Roman"/>
        </w:rPr>
        <w:t xml:space="preserve">(kohustused miinus likviidsed varad) </w:t>
      </w:r>
      <w:r w:rsidR="002D6FA2" w:rsidRPr="00B901A4">
        <w:rPr>
          <w:rFonts w:ascii="Times New Roman" w:hAnsi="Times New Roman" w:cs="Times New Roman"/>
        </w:rPr>
        <w:t>on</w:t>
      </w:r>
      <w:r w:rsidRPr="00B901A4">
        <w:rPr>
          <w:rFonts w:ascii="Times New Roman" w:hAnsi="Times New Roman" w:cs="Times New Roman"/>
        </w:rPr>
        <w:t xml:space="preserve"> </w:t>
      </w:r>
      <w:r w:rsidR="002D6FA2" w:rsidRPr="00B901A4">
        <w:rPr>
          <w:rFonts w:ascii="Times New Roman" w:hAnsi="Times New Roman" w:cs="Times New Roman"/>
        </w:rPr>
        <w:t xml:space="preserve">kavandatud </w:t>
      </w:r>
      <w:r w:rsidRPr="00B901A4">
        <w:rPr>
          <w:rFonts w:ascii="Times New Roman" w:hAnsi="Times New Roman" w:cs="Times New Roman"/>
        </w:rPr>
        <w:t>20</w:t>
      </w:r>
      <w:r w:rsidR="002D6FA2" w:rsidRPr="00B901A4">
        <w:rPr>
          <w:rFonts w:ascii="Times New Roman" w:hAnsi="Times New Roman" w:cs="Times New Roman"/>
        </w:rPr>
        <w:t>2</w:t>
      </w:r>
      <w:r w:rsidR="000F48FD" w:rsidRPr="00B901A4">
        <w:rPr>
          <w:rFonts w:ascii="Times New Roman" w:hAnsi="Times New Roman" w:cs="Times New Roman"/>
        </w:rPr>
        <w:t>1</w:t>
      </w:r>
      <w:r w:rsidRPr="00B901A4">
        <w:rPr>
          <w:rFonts w:ascii="Times New Roman" w:hAnsi="Times New Roman" w:cs="Times New Roman"/>
        </w:rPr>
        <w:t>.</w:t>
      </w:r>
      <w:r w:rsidR="001D25DF" w:rsidRPr="00B901A4">
        <w:rPr>
          <w:rFonts w:ascii="Times New Roman" w:hAnsi="Times New Roman" w:cs="Times New Roman"/>
        </w:rPr>
        <w:t xml:space="preserve"> </w:t>
      </w:r>
      <w:r w:rsidRPr="00B901A4">
        <w:rPr>
          <w:rFonts w:ascii="Times New Roman" w:hAnsi="Times New Roman" w:cs="Times New Roman"/>
        </w:rPr>
        <w:t xml:space="preserve">aasta lõpuks </w:t>
      </w:r>
      <w:r w:rsidR="007847D2">
        <w:rPr>
          <w:rFonts w:ascii="Times New Roman" w:hAnsi="Times New Roman" w:cs="Times New Roman"/>
        </w:rPr>
        <w:t>71,9</w:t>
      </w:r>
      <w:r w:rsidRPr="00B901A4">
        <w:rPr>
          <w:rFonts w:ascii="Times New Roman" w:hAnsi="Times New Roman" w:cs="Times New Roman"/>
        </w:rPr>
        <w:t>% põhitegevuse tuludest</w:t>
      </w:r>
      <w:r w:rsidR="007847D2">
        <w:rPr>
          <w:rFonts w:ascii="Times New Roman" w:hAnsi="Times New Roman" w:cs="Times New Roman"/>
        </w:rPr>
        <w:t>.</w:t>
      </w:r>
    </w:p>
    <w:p w14:paraId="04B4EAEF" w14:textId="4BDDE7B0" w:rsidR="00F143C6" w:rsidRPr="00B901A4" w:rsidRDefault="00692AA7" w:rsidP="005030C7">
      <w:pPr>
        <w:pStyle w:val="ListParagraph"/>
        <w:numPr>
          <w:ilvl w:val="0"/>
          <w:numId w:val="8"/>
        </w:numPr>
        <w:jc w:val="both"/>
        <w:rPr>
          <w:rFonts w:ascii="Times New Roman" w:hAnsi="Times New Roman" w:cs="Times New Roman"/>
        </w:rPr>
      </w:pPr>
      <w:r w:rsidRPr="00B901A4">
        <w:rPr>
          <w:rFonts w:ascii="Times New Roman" w:hAnsi="Times New Roman" w:cs="Times New Roman"/>
          <w:b/>
        </w:rPr>
        <w:t>likviidsete varade mahu kasvu ei ole</w:t>
      </w:r>
      <w:r w:rsidR="00F143C6" w:rsidRPr="00B901A4">
        <w:rPr>
          <w:rFonts w:ascii="Times New Roman" w:hAnsi="Times New Roman" w:cs="Times New Roman"/>
        </w:rPr>
        <w:t xml:space="preserve"> 20</w:t>
      </w:r>
      <w:r w:rsidR="002D6FA2" w:rsidRPr="00B901A4">
        <w:rPr>
          <w:rFonts w:ascii="Times New Roman" w:hAnsi="Times New Roman" w:cs="Times New Roman"/>
        </w:rPr>
        <w:t>2</w:t>
      </w:r>
      <w:r w:rsidR="002B00B5" w:rsidRPr="00B901A4">
        <w:rPr>
          <w:rFonts w:ascii="Times New Roman" w:hAnsi="Times New Roman" w:cs="Times New Roman"/>
        </w:rPr>
        <w:t>1</w:t>
      </w:r>
      <w:r w:rsidR="00F143C6" w:rsidRPr="00B901A4">
        <w:rPr>
          <w:rFonts w:ascii="Times New Roman" w:hAnsi="Times New Roman" w:cs="Times New Roman"/>
        </w:rPr>
        <w:t xml:space="preserve">.aastal </w:t>
      </w:r>
      <w:r w:rsidRPr="00B901A4">
        <w:rPr>
          <w:rFonts w:ascii="Times New Roman" w:hAnsi="Times New Roman" w:cs="Times New Roman"/>
        </w:rPr>
        <w:t>ette näha.</w:t>
      </w:r>
    </w:p>
    <w:sectPr w:rsidR="00F143C6" w:rsidRPr="00B901A4" w:rsidSect="009D5D96">
      <w:pgSz w:w="11906" w:h="16838"/>
      <w:pgMar w:top="136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9BC4" w14:textId="77777777" w:rsidR="00E071FF" w:rsidRDefault="00E071FF" w:rsidP="00682013">
      <w:pPr>
        <w:spacing w:after="0" w:line="240" w:lineRule="auto"/>
      </w:pPr>
      <w:r>
        <w:separator/>
      </w:r>
    </w:p>
  </w:endnote>
  <w:endnote w:type="continuationSeparator" w:id="0">
    <w:p w14:paraId="2BE08254" w14:textId="77777777" w:rsidR="00E071FF" w:rsidRDefault="00E071FF" w:rsidP="0068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1797" w14:textId="77777777" w:rsidR="00E071FF" w:rsidRDefault="00E071FF" w:rsidP="00682013">
      <w:pPr>
        <w:spacing w:after="0" w:line="240" w:lineRule="auto"/>
      </w:pPr>
      <w:r>
        <w:separator/>
      </w:r>
    </w:p>
  </w:footnote>
  <w:footnote w:type="continuationSeparator" w:id="0">
    <w:p w14:paraId="65B2C893" w14:textId="77777777" w:rsidR="00E071FF" w:rsidRDefault="00E071FF" w:rsidP="00682013">
      <w:pPr>
        <w:spacing w:after="0" w:line="240" w:lineRule="auto"/>
      </w:pPr>
      <w:r>
        <w:continuationSeparator/>
      </w:r>
    </w:p>
  </w:footnote>
  <w:footnote w:id="1">
    <w:p w14:paraId="4B3D55C9" w14:textId="60AEEEA1" w:rsidR="00514C14" w:rsidRDefault="00514C14">
      <w:pPr>
        <w:pStyle w:val="FootnoteText"/>
      </w:pPr>
      <w:r>
        <w:rPr>
          <w:rStyle w:val="FootnoteReference"/>
        </w:rPr>
        <w:footnoteRef/>
      </w:r>
      <w:r>
        <w:t xml:space="preserve"> </w:t>
      </w:r>
      <w:r w:rsidR="00C756DF" w:rsidRPr="00C756DF">
        <w:rPr>
          <w:rFonts w:ascii="Times New Roman" w:hAnsi="Times New Roman" w:cs="Times New Roman"/>
          <w:sz w:val="16"/>
          <w:szCs w:val="16"/>
        </w:rPr>
        <w:t>Regulaarsed tulud</w:t>
      </w:r>
      <w:r w:rsidR="00C756DF">
        <w:rPr>
          <w:rFonts w:ascii="Times New Roman" w:hAnsi="Times New Roman" w:cs="Times New Roman"/>
          <w:sz w:val="16"/>
          <w:szCs w:val="16"/>
        </w:rPr>
        <w:t xml:space="preserve"> - </w:t>
      </w:r>
      <w:r w:rsidRPr="00C756DF">
        <w:rPr>
          <w:rFonts w:ascii="Times New Roman" w:hAnsi="Times New Roman" w:cs="Times New Roman"/>
          <w:sz w:val="16"/>
          <w:szCs w:val="16"/>
        </w:rPr>
        <w:t>maksutulud</w:t>
      </w:r>
      <w:r w:rsidRPr="006A22B7">
        <w:rPr>
          <w:rFonts w:ascii="Times New Roman" w:hAnsi="Times New Roman" w:cs="Times New Roman"/>
          <w:sz w:val="16"/>
          <w:szCs w:val="16"/>
        </w:rPr>
        <w:t>, tulud kaupade ja teenuste müügist, saadavad toetused</w:t>
      </w:r>
      <w:r w:rsidR="00C756DF">
        <w:rPr>
          <w:rFonts w:ascii="Times New Roman" w:hAnsi="Times New Roman" w:cs="Times New Roman"/>
          <w:sz w:val="16"/>
          <w:szCs w:val="16"/>
        </w:rPr>
        <w:t xml:space="preserve"> põhitegevuseks ning</w:t>
      </w:r>
      <w:r w:rsidRPr="006A22B7">
        <w:rPr>
          <w:rFonts w:ascii="Times New Roman" w:hAnsi="Times New Roman" w:cs="Times New Roman"/>
          <w:sz w:val="16"/>
          <w:szCs w:val="16"/>
        </w:rPr>
        <w:t xml:space="preserve"> muud tegevustulud</w:t>
      </w:r>
      <w:r w:rsidR="00BE53BC">
        <w:rPr>
          <w:rFonts w:ascii="Times New Roman" w:hAnsi="Times New Roman" w:cs="Times New Roman"/>
          <w:sz w:val="16"/>
          <w:szCs w:val="16"/>
        </w:rPr>
        <w:t xml:space="preserve"> </w:t>
      </w:r>
    </w:p>
  </w:footnote>
  <w:footnote w:id="2">
    <w:p w14:paraId="0B10F044" w14:textId="5B899DB4" w:rsidR="00682013" w:rsidRPr="00C4462B" w:rsidRDefault="00682013" w:rsidP="00682013">
      <w:pPr>
        <w:pStyle w:val="FootnoteText"/>
        <w:rPr>
          <w:rFonts w:ascii="Times New Roman" w:hAnsi="Times New Roman" w:cs="Times New Roman"/>
          <w:sz w:val="16"/>
          <w:szCs w:val="16"/>
        </w:rPr>
      </w:pPr>
      <w:r w:rsidRPr="00C4462B">
        <w:rPr>
          <w:rStyle w:val="FootnoteReference"/>
          <w:rFonts w:ascii="Times New Roman" w:hAnsi="Times New Roman" w:cs="Times New Roman"/>
          <w:sz w:val="16"/>
          <w:szCs w:val="16"/>
        </w:rPr>
        <w:footnoteRef/>
      </w:r>
      <w:r w:rsidR="00F3592D">
        <w:rPr>
          <w:rFonts w:ascii="Times New Roman" w:hAnsi="Times New Roman" w:cs="Times New Roman"/>
          <w:sz w:val="16"/>
          <w:szCs w:val="16"/>
        </w:rPr>
        <w:t xml:space="preserve"> s</w:t>
      </w:r>
      <w:r w:rsidRPr="00C4462B">
        <w:rPr>
          <w:rFonts w:ascii="Times New Roman" w:hAnsi="Times New Roman" w:cs="Times New Roman"/>
          <w:sz w:val="16"/>
          <w:szCs w:val="16"/>
        </w:rPr>
        <w:t>ellist tähistust, võrdlemaks 20</w:t>
      </w:r>
      <w:r w:rsidR="009E583D">
        <w:rPr>
          <w:rFonts w:ascii="Times New Roman" w:hAnsi="Times New Roman" w:cs="Times New Roman"/>
          <w:sz w:val="16"/>
          <w:szCs w:val="16"/>
        </w:rPr>
        <w:t>2</w:t>
      </w:r>
      <w:r w:rsidR="00FF7824">
        <w:rPr>
          <w:rFonts w:ascii="Times New Roman" w:hAnsi="Times New Roman" w:cs="Times New Roman"/>
          <w:sz w:val="16"/>
          <w:szCs w:val="16"/>
        </w:rPr>
        <w:t>1</w:t>
      </w:r>
      <w:r w:rsidRPr="00C4462B">
        <w:rPr>
          <w:rFonts w:ascii="Times New Roman" w:hAnsi="Times New Roman" w:cs="Times New Roman"/>
          <w:sz w:val="16"/>
          <w:szCs w:val="16"/>
        </w:rPr>
        <w:t>.</w:t>
      </w:r>
      <w:r w:rsidR="00445AE2">
        <w:rPr>
          <w:rFonts w:ascii="Times New Roman" w:hAnsi="Times New Roman" w:cs="Times New Roman"/>
          <w:sz w:val="16"/>
          <w:szCs w:val="16"/>
        </w:rPr>
        <w:t xml:space="preserve"> </w:t>
      </w:r>
      <w:r w:rsidRPr="00C4462B">
        <w:rPr>
          <w:rFonts w:ascii="Times New Roman" w:hAnsi="Times New Roman" w:cs="Times New Roman"/>
          <w:sz w:val="16"/>
          <w:szCs w:val="16"/>
        </w:rPr>
        <w:t>aasta eelarvet 20</w:t>
      </w:r>
      <w:r w:rsidR="00FF7824">
        <w:rPr>
          <w:rFonts w:ascii="Times New Roman" w:hAnsi="Times New Roman" w:cs="Times New Roman"/>
          <w:sz w:val="16"/>
          <w:szCs w:val="16"/>
        </w:rPr>
        <w:t>20</w:t>
      </w:r>
      <w:r w:rsidRPr="00C4462B">
        <w:rPr>
          <w:rFonts w:ascii="Times New Roman" w:hAnsi="Times New Roman" w:cs="Times New Roman"/>
          <w:sz w:val="16"/>
          <w:szCs w:val="16"/>
        </w:rPr>
        <w:t>.</w:t>
      </w:r>
      <w:r w:rsidR="00445AE2">
        <w:rPr>
          <w:rFonts w:ascii="Times New Roman" w:hAnsi="Times New Roman" w:cs="Times New Roman"/>
          <w:sz w:val="16"/>
          <w:szCs w:val="16"/>
        </w:rPr>
        <w:t xml:space="preserve"> </w:t>
      </w:r>
      <w:r w:rsidRPr="00C4462B">
        <w:rPr>
          <w:rFonts w:ascii="Times New Roman" w:hAnsi="Times New Roman" w:cs="Times New Roman"/>
          <w:sz w:val="16"/>
          <w:szCs w:val="16"/>
        </w:rPr>
        <w:t xml:space="preserve">aasta eelarve täitmisega, </w:t>
      </w:r>
      <w:r w:rsidR="00F3592D">
        <w:rPr>
          <w:rFonts w:ascii="Times New Roman" w:hAnsi="Times New Roman" w:cs="Times New Roman"/>
          <w:sz w:val="16"/>
          <w:szCs w:val="16"/>
        </w:rPr>
        <w:t>kasutatakse dokumendis läbivalt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75"/>
    <w:multiLevelType w:val="hybridMultilevel"/>
    <w:tmpl w:val="F52C2BF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324A7246"/>
    <w:multiLevelType w:val="hybridMultilevel"/>
    <w:tmpl w:val="6B5871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7205C26"/>
    <w:multiLevelType w:val="hybridMultilevel"/>
    <w:tmpl w:val="4FD40EA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4A1F4174"/>
    <w:multiLevelType w:val="hybridMultilevel"/>
    <w:tmpl w:val="A6F0B4A8"/>
    <w:lvl w:ilvl="0" w:tplc="04250001">
      <w:start w:val="1"/>
      <w:numFmt w:val="bullet"/>
      <w:lvlText w:val=""/>
      <w:lvlJc w:val="left"/>
      <w:pPr>
        <w:ind w:left="644"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5"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3"/>
  </w:num>
  <w:num w:numId="6">
    <w:abstractNumId w:val="1"/>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13"/>
    <w:rsid w:val="00020C0C"/>
    <w:rsid w:val="0002356D"/>
    <w:rsid w:val="000315EA"/>
    <w:rsid w:val="00035145"/>
    <w:rsid w:val="000415F7"/>
    <w:rsid w:val="0004362A"/>
    <w:rsid w:val="0005288F"/>
    <w:rsid w:val="0005367A"/>
    <w:rsid w:val="000632B5"/>
    <w:rsid w:val="00071A19"/>
    <w:rsid w:val="00076B23"/>
    <w:rsid w:val="00085287"/>
    <w:rsid w:val="00090410"/>
    <w:rsid w:val="00092D27"/>
    <w:rsid w:val="00092F4D"/>
    <w:rsid w:val="000B2CE0"/>
    <w:rsid w:val="000B663E"/>
    <w:rsid w:val="000B73EA"/>
    <w:rsid w:val="000F48FD"/>
    <w:rsid w:val="000F60EE"/>
    <w:rsid w:val="000F7F55"/>
    <w:rsid w:val="00103613"/>
    <w:rsid w:val="001053C3"/>
    <w:rsid w:val="001255E3"/>
    <w:rsid w:val="00151930"/>
    <w:rsid w:val="00157C18"/>
    <w:rsid w:val="00177D94"/>
    <w:rsid w:val="001808C0"/>
    <w:rsid w:val="00185D54"/>
    <w:rsid w:val="001A07E8"/>
    <w:rsid w:val="001A23AD"/>
    <w:rsid w:val="001A2AD9"/>
    <w:rsid w:val="001A3695"/>
    <w:rsid w:val="001A5060"/>
    <w:rsid w:val="001B41C9"/>
    <w:rsid w:val="001B7E95"/>
    <w:rsid w:val="001C2CAE"/>
    <w:rsid w:val="001D25DF"/>
    <w:rsid w:val="001E4B53"/>
    <w:rsid w:val="001E7CF2"/>
    <w:rsid w:val="001F0381"/>
    <w:rsid w:val="00253B52"/>
    <w:rsid w:val="00255AD8"/>
    <w:rsid w:val="00267B57"/>
    <w:rsid w:val="0027380C"/>
    <w:rsid w:val="002B00B5"/>
    <w:rsid w:val="002B1E6D"/>
    <w:rsid w:val="002C274C"/>
    <w:rsid w:val="002D6678"/>
    <w:rsid w:val="002D6FA2"/>
    <w:rsid w:val="00310114"/>
    <w:rsid w:val="00327BC1"/>
    <w:rsid w:val="00352537"/>
    <w:rsid w:val="003614BE"/>
    <w:rsid w:val="00362462"/>
    <w:rsid w:val="003658D4"/>
    <w:rsid w:val="00370905"/>
    <w:rsid w:val="00372623"/>
    <w:rsid w:val="003800FF"/>
    <w:rsid w:val="0038223F"/>
    <w:rsid w:val="00385E96"/>
    <w:rsid w:val="0038620E"/>
    <w:rsid w:val="00393077"/>
    <w:rsid w:val="003B0467"/>
    <w:rsid w:val="003B5893"/>
    <w:rsid w:val="003B5BEC"/>
    <w:rsid w:val="003B7AB6"/>
    <w:rsid w:val="003C1882"/>
    <w:rsid w:val="003C7640"/>
    <w:rsid w:val="003D2A48"/>
    <w:rsid w:val="003E4054"/>
    <w:rsid w:val="003F44CB"/>
    <w:rsid w:val="003F4D8D"/>
    <w:rsid w:val="00400FC8"/>
    <w:rsid w:val="004037D2"/>
    <w:rsid w:val="004074AA"/>
    <w:rsid w:val="00407E14"/>
    <w:rsid w:val="004121B9"/>
    <w:rsid w:val="00435913"/>
    <w:rsid w:val="00445AE2"/>
    <w:rsid w:val="0045199E"/>
    <w:rsid w:val="00456283"/>
    <w:rsid w:val="0047454A"/>
    <w:rsid w:val="00476DC6"/>
    <w:rsid w:val="004A4D5D"/>
    <w:rsid w:val="004A60A0"/>
    <w:rsid w:val="004A6A31"/>
    <w:rsid w:val="004D0849"/>
    <w:rsid w:val="005020C6"/>
    <w:rsid w:val="005030C7"/>
    <w:rsid w:val="00514C14"/>
    <w:rsid w:val="00525BBF"/>
    <w:rsid w:val="00555319"/>
    <w:rsid w:val="0056227A"/>
    <w:rsid w:val="00577447"/>
    <w:rsid w:val="005869EF"/>
    <w:rsid w:val="005A13D5"/>
    <w:rsid w:val="005B18FB"/>
    <w:rsid w:val="005D2F95"/>
    <w:rsid w:val="005F01EC"/>
    <w:rsid w:val="005F4549"/>
    <w:rsid w:val="00606946"/>
    <w:rsid w:val="00610134"/>
    <w:rsid w:val="00615F9A"/>
    <w:rsid w:val="00616F01"/>
    <w:rsid w:val="00623AB1"/>
    <w:rsid w:val="00630048"/>
    <w:rsid w:val="00630885"/>
    <w:rsid w:val="00651571"/>
    <w:rsid w:val="00664710"/>
    <w:rsid w:val="00674722"/>
    <w:rsid w:val="0068142B"/>
    <w:rsid w:val="00682013"/>
    <w:rsid w:val="00690186"/>
    <w:rsid w:val="00692AA7"/>
    <w:rsid w:val="006966DF"/>
    <w:rsid w:val="006A3F97"/>
    <w:rsid w:val="006C0407"/>
    <w:rsid w:val="006C408C"/>
    <w:rsid w:val="006C55FF"/>
    <w:rsid w:val="006D0012"/>
    <w:rsid w:val="006E46B9"/>
    <w:rsid w:val="006F273D"/>
    <w:rsid w:val="006F4B8E"/>
    <w:rsid w:val="006F69B9"/>
    <w:rsid w:val="00700499"/>
    <w:rsid w:val="00703B27"/>
    <w:rsid w:val="00713F37"/>
    <w:rsid w:val="0071511D"/>
    <w:rsid w:val="0071766E"/>
    <w:rsid w:val="00726E18"/>
    <w:rsid w:val="0073261F"/>
    <w:rsid w:val="007622A1"/>
    <w:rsid w:val="007847D2"/>
    <w:rsid w:val="00785F19"/>
    <w:rsid w:val="00790C63"/>
    <w:rsid w:val="00795E1E"/>
    <w:rsid w:val="007C1310"/>
    <w:rsid w:val="007C1626"/>
    <w:rsid w:val="007E210B"/>
    <w:rsid w:val="007E5644"/>
    <w:rsid w:val="007E5BBA"/>
    <w:rsid w:val="007E7B9E"/>
    <w:rsid w:val="007F5917"/>
    <w:rsid w:val="008339F8"/>
    <w:rsid w:val="00835B77"/>
    <w:rsid w:val="008500B3"/>
    <w:rsid w:val="008505DD"/>
    <w:rsid w:val="00857490"/>
    <w:rsid w:val="008617ED"/>
    <w:rsid w:val="008714C3"/>
    <w:rsid w:val="00897B89"/>
    <w:rsid w:val="008C4C94"/>
    <w:rsid w:val="008D08F4"/>
    <w:rsid w:val="008E49F9"/>
    <w:rsid w:val="008F1BA1"/>
    <w:rsid w:val="009026E9"/>
    <w:rsid w:val="00913675"/>
    <w:rsid w:val="00916601"/>
    <w:rsid w:val="009209CE"/>
    <w:rsid w:val="009233EC"/>
    <w:rsid w:val="00937AED"/>
    <w:rsid w:val="00943F15"/>
    <w:rsid w:val="00945F21"/>
    <w:rsid w:val="00955A7A"/>
    <w:rsid w:val="009614FB"/>
    <w:rsid w:val="00963B3A"/>
    <w:rsid w:val="00964BB5"/>
    <w:rsid w:val="009661DB"/>
    <w:rsid w:val="009717FD"/>
    <w:rsid w:val="009918C0"/>
    <w:rsid w:val="00993454"/>
    <w:rsid w:val="009A0973"/>
    <w:rsid w:val="009A3983"/>
    <w:rsid w:val="009A544D"/>
    <w:rsid w:val="009A7A60"/>
    <w:rsid w:val="009B6C9A"/>
    <w:rsid w:val="009D0FA0"/>
    <w:rsid w:val="009D5D96"/>
    <w:rsid w:val="009E583D"/>
    <w:rsid w:val="009F12A1"/>
    <w:rsid w:val="00A00015"/>
    <w:rsid w:val="00A00B70"/>
    <w:rsid w:val="00A1231E"/>
    <w:rsid w:val="00A1492F"/>
    <w:rsid w:val="00A208B4"/>
    <w:rsid w:val="00A23835"/>
    <w:rsid w:val="00A35422"/>
    <w:rsid w:val="00A43AA3"/>
    <w:rsid w:val="00A73D01"/>
    <w:rsid w:val="00A74929"/>
    <w:rsid w:val="00AA490E"/>
    <w:rsid w:val="00AB355B"/>
    <w:rsid w:val="00AB7E9C"/>
    <w:rsid w:val="00AC0050"/>
    <w:rsid w:val="00AC4E27"/>
    <w:rsid w:val="00AD3456"/>
    <w:rsid w:val="00AE242F"/>
    <w:rsid w:val="00B05C61"/>
    <w:rsid w:val="00B07300"/>
    <w:rsid w:val="00B13EB5"/>
    <w:rsid w:val="00B376B1"/>
    <w:rsid w:val="00B65144"/>
    <w:rsid w:val="00B653B8"/>
    <w:rsid w:val="00B764C0"/>
    <w:rsid w:val="00B821AF"/>
    <w:rsid w:val="00B901A4"/>
    <w:rsid w:val="00B92E72"/>
    <w:rsid w:val="00BA1EF6"/>
    <w:rsid w:val="00BD16F7"/>
    <w:rsid w:val="00BD30CD"/>
    <w:rsid w:val="00BE53BC"/>
    <w:rsid w:val="00BF7F88"/>
    <w:rsid w:val="00BF7FF3"/>
    <w:rsid w:val="00C0755E"/>
    <w:rsid w:val="00C31E9F"/>
    <w:rsid w:val="00C400BA"/>
    <w:rsid w:val="00C4422F"/>
    <w:rsid w:val="00C4462B"/>
    <w:rsid w:val="00C727CD"/>
    <w:rsid w:val="00C756DF"/>
    <w:rsid w:val="00C80452"/>
    <w:rsid w:val="00C97BEF"/>
    <w:rsid w:val="00CA69DB"/>
    <w:rsid w:val="00CB03A9"/>
    <w:rsid w:val="00CB6456"/>
    <w:rsid w:val="00CC3B8E"/>
    <w:rsid w:val="00CC48BA"/>
    <w:rsid w:val="00D03C10"/>
    <w:rsid w:val="00D11ACE"/>
    <w:rsid w:val="00D25172"/>
    <w:rsid w:val="00D40C83"/>
    <w:rsid w:val="00D46FE9"/>
    <w:rsid w:val="00D470C8"/>
    <w:rsid w:val="00D60914"/>
    <w:rsid w:val="00D62E2B"/>
    <w:rsid w:val="00D63ED4"/>
    <w:rsid w:val="00D64A42"/>
    <w:rsid w:val="00D66571"/>
    <w:rsid w:val="00D766B3"/>
    <w:rsid w:val="00D9261E"/>
    <w:rsid w:val="00D927FD"/>
    <w:rsid w:val="00D94FE9"/>
    <w:rsid w:val="00DA00D5"/>
    <w:rsid w:val="00DA65D1"/>
    <w:rsid w:val="00E04BBC"/>
    <w:rsid w:val="00E071FF"/>
    <w:rsid w:val="00E078DC"/>
    <w:rsid w:val="00E238A3"/>
    <w:rsid w:val="00E24038"/>
    <w:rsid w:val="00E30711"/>
    <w:rsid w:val="00E36880"/>
    <w:rsid w:val="00E45EEB"/>
    <w:rsid w:val="00E53BEA"/>
    <w:rsid w:val="00E541E7"/>
    <w:rsid w:val="00E6790C"/>
    <w:rsid w:val="00E7137B"/>
    <w:rsid w:val="00E77C4D"/>
    <w:rsid w:val="00E8001C"/>
    <w:rsid w:val="00E93725"/>
    <w:rsid w:val="00E945FF"/>
    <w:rsid w:val="00EA10E3"/>
    <w:rsid w:val="00EA6C5B"/>
    <w:rsid w:val="00EB5A28"/>
    <w:rsid w:val="00EC0838"/>
    <w:rsid w:val="00ED253C"/>
    <w:rsid w:val="00ED3C66"/>
    <w:rsid w:val="00EE6464"/>
    <w:rsid w:val="00F01C0E"/>
    <w:rsid w:val="00F06552"/>
    <w:rsid w:val="00F143C6"/>
    <w:rsid w:val="00F20C20"/>
    <w:rsid w:val="00F2118E"/>
    <w:rsid w:val="00F226C0"/>
    <w:rsid w:val="00F3592D"/>
    <w:rsid w:val="00F8111E"/>
    <w:rsid w:val="00F81F61"/>
    <w:rsid w:val="00F91D56"/>
    <w:rsid w:val="00F971E7"/>
    <w:rsid w:val="00FA3AB9"/>
    <w:rsid w:val="00FB32E4"/>
    <w:rsid w:val="00FC37AF"/>
    <w:rsid w:val="00FF22C5"/>
    <w:rsid w:val="00FF7824"/>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7B6E"/>
  <w15:docId w15:val="{16CED3D9-F633-458E-8080-5338543A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13"/>
  </w:style>
  <w:style w:type="paragraph" w:styleId="Heading1">
    <w:name w:val="heading 1"/>
    <w:basedOn w:val="Normal"/>
    <w:next w:val="Normal"/>
    <w:link w:val="Heading1Char"/>
    <w:uiPriority w:val="9"/>
    <w:qFormat/>
    <w:rsid w:val="006820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013"/>
    <w:pPr>
      <w:ind w:left="720"/>
      <w:contextualSpacing/>
    </w:pPr>
  </w:style>
  <w:style w:type="paragraph" w:styleId="Header">
    <w:name w:val="header"/>
    <w:basedOn w:val="Normal"/>
    <w:link w:val="HeaderChar"/>
    <w:uiPriority w:val="99"/>
    <w:unhideWhenUsed/>
    <w:rsid w:val="006820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2013"/>
  </w:style>
  <w:style w:type="paragraph" w:styleId="FootnoteText">
    <w:name w:val="footnote text"/>
    <w:basedOn w:val="Normal"/>
    <w:link w:val="FootnoteTextChar"/>
    <w:uiPriority w:val="99"/>
    <w:semiHidden/>
    <w:unhideWhenUsed/>
    <w:rsid w:val="00682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013"/>
    <w:rPr>
      <w:sz w:val="20"/>
      <w:szCs w:val="20"/>
    </w:rPr>
  </w:style>
  <w:style w:type="character" w:styleId="FootnoteReference">
    <w:name w:val="footnote reference"/>
    <w:basedOn w:val="DefaultParagraphFont"/>
    <w:uiPriority w:val="99"/>
    <w:semiHidden/>
    <w:unhideWhenUsed/>
    <w:rsid w:val="00682013"/>
    <w:rPr>
      <w:vertAlign w:val="superscript"/>
    </w:rPr>
  </w:style>
  <w:style w:type="paragraph" w:customStyle="1" w:styleId="Pealkiri1">
    <w:name w:val="Pealkiri1"/>
    <w:basedOn w:val="Heading1"/>
    <w:link w:val="PealkiriChar"/>
    <w:qFormat/>
    <w:rsid w:val="00682013"/>
    <w:rPr>
      <w:rFonts w:asciiTheme="minorHAnsi" w:hAnsiTheme="minorHAnsi"/>
      <w:color w:val="4F81BD" w:themeColor="accent1"/>
      <w:sz w:val="24"/>
      <w:szCs w:val="24"/>
    </w:rPr>
  </w:style>
  <w:style w:type="paragraph" w:customStyle="1" w:styleId="Joonis">
    <w:name w:val="Joonis"/>
    <w:basedOn w:val="Normal"/>
    <w:link w:val="JoonisChar"/>
    <w:qFormat/>
    <w:rsid w:val="00682013"/>
    <w:pPr>
      <w:jc w:val="both"/>
    </w:pPr>
    <w:rPr>
      <w:b/>
      <w:bCs/>
      <w:color w:val="4F81BD" w:themeColor="accent1"/>
    </w:rPr>
  </w:style>
  <w:style w:type="character" w:customStyle="1" w:styleId="PealkiriChar">
    <w:name w:val="Pealkiri Char"/>
    <w:basedOn w:val="Heading1Char"/>
    <w:link w:val="Pealkiri1"/>
    <w:rsid w:val="00682013"/>
    <w:rPr>
      <w:rFonts w:asciiTheme="majorHAnsi" w:eastAsiaTheme="majorEastAsia" w:hAnsiTheme="majorHAnsi" w:cstheme="majorBidi"/>
      <w:b/>
      <w:bCs/>
      <w:color w:val="4F81BD" w:themeColor="accent1"/>
      <w:sz w:val="24"/>
      <w:szCs w:val="24"/>
    </w:rPr>
  </w:style>
  <w:style w:type="character" w:customStyle="1" w:styleId="JoonisChar">
    <w:name w:val="Joonis Char"/>
    <w:basedOn w:val="DefaultParagraphFont"/>
    <w:link w:val="Joonis"/>
    <w:rsid w:val="00682013"/>
    <w:rPr>
      <w:b/>
      <w:bCs/>
      <w:color w:val="4F81BD" w:themeColor="accent1"/>
    </w:rPr>
  </w:style>
  <w:style w:type="character" w:customStyle="1" w:styleId="Heading1Char">
    <w:name w:val="Heading 1 Char"/>
    <w:basedOn w:val="DefaultParagraphFont"/>
    <w:link w:val="Heading1"/>
    <w:uiPriority w:val="9"/>
    <w:rsid w:val="0068201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82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13"/>
    <w:rPr>
      <w:rFonts w:ascii="Tahoma" w:hAnsi="Tahoma" w:cs="Tahoma"/>
      <w:sz w:val="16"/>
      <w:szCs w:val="16"/>
    </w:rPr>
  </w:style>
  <w:style w:type="paragraph" w:styleId="Footer">
    <w:name w:val="footer"/>
    <w:basedOn w:val="Normal"/>
    <w:link w:val="FooterChar"/>
    <w:uiPriority w:val="99"/>
    <w:unhideWhenUsed/>
    <w:rsid w:val="00623A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3AB1"/>
  </w:style>
  <w:style w:type="character" w:styleId="Hyperlink">
    <w:name w:val="Hyperlink"/>
    <w:basedOn w:val="DefaultParagraphFont"/>
    <w:uiPriority w:val="99"/>
    <w:unhideWhenUsed/>
    <w:rsid w:val="0027380C"/>
    <w:rPr>
      <w:color w:val="0000FF" w:themeColor="hyperlink"/>
      <w:u w:val="single"/>
    </w:rPr>
  </w:style>
  <w:style w:type="character" w:styleId="FollowedHyperlink">
    <w:name w:val="FollowedHyperlink"/>
    <w:basedOn w:val="DefaultParagraphFont"/>
    <w:uiPriority w:val="99"/>
    <w:semiHidden/>
    <w:unhideWhenUsed/>
    <w:rsid w:val="00273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5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lta.andmevara.ee/kohila_vald/dokument/45461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VVSRV1\Redirect$\Ly.Mall\Documents\Eelarved\2021%20eelarve\2021%20l&#252;hi&#252;levaate%20joonisemallid%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VSRV1\Redirect$\Ly.Mall\Documents\Eelarved\2021%20eelarve\2021%20l&#252;hi&#252;levaate%20joonisemallid%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14192685067166"/>
          <c:y val="0.22998834070690455"/>
          <c:w val="0.81221461187214616"/>
          <c:h val="0.66959091253489689"/>
        </c:manualLayout>
      </c:layout>
      <c:pie3DChart>
        <c:varyColors val="1"/>
        <c:ser>
          <c:idx val="0"/>
          <c:order val="0"/>
          <c:tx>
            <c:strRef>
              <c:f>'\\VVSRV1\Redirect$\Ly.Mall\Documents\Eelarved\2021 eelarve\[2021 aasta eelarve seletuskirja lisad_23.02.2021.xlsx]SK lisa 3 (Diagrammid)'!$D$1</c:f>
              <c:strCache>
                <c:ptCount val="1"/>
                <c:pt idx="0">
                  <c:v>2021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B7-4ABC-A8EB-FD4D9CB8B1C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1B7-4ABC-A8EB-FD4D9CB8B1C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1B7-4ABC-A8EB-FD4D9CB8B1C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1B7-4ABC-A8EB-FD4D9CB8B1C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1B7-4ABC-A8EB-FD4D9CB8B1C0}"/>
              </c:ext>
            </c:extLst>
          </c:dPt>
          <c:dLbls>
            <c:dLbl>
              <c:idx val="0"/>
              <c:layout>
                <c:manualLayout>
                  <c:x val="-0.24672357924745622"/>
                  <c:y val="-0.16684732228417015"/>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790609728412173"/>
                      <c:h val="0.17495896177278042"/>
                    </c:manualLayout>
                  </c15:layout>
                </c:ext>
                <c:ext xmlns:c16="http://schemas.microsoft.com/office/drawing/2014/chart" uri="{C3380CC4-5D6E-409C-BE32-E72D297353CC}">
                  <c16:uniqueId val="{00000001-A1B7-4ABC-A8EB-FD4D9CB8B1C0}"/>
                </c:ext>
              </c:extLst>
            </c:dLbl>
            <c:dLbl>
              <c:idx val="1"/>
              <c:layout>
                <c:manualLayout>
                  <c:x val="-2.4000454846132648E-2"/>
                  <c:y val="-9.833494883457358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7433935135953224"/>
                      <c:h val="0.19285606540561739"/>
                    </c:manualLayout>
                  </c15:layout>
                </c:ext>
                <c:ext xmlns:c16="http://schemas.microsoft.com/office/drawing/2014/chart" uri="{C3380CC4-5D6E-409C-BE32-E72D297353CC}">
                  <c16:uniqueId val="{00000003-A1B7-4ABC-A8EB-FD4D9CB8B1C0}"/>
                </c:ext>
              </c:extLst>
            </c:dLbl>
            <c:dLbl>
              <c:idx val="2"/>
              <c:layout>
                <c:manualLayout>
                  <c:x val="0.17888906563447246"/>
                  <c:y val="-5.777911180791520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6281856386448804"/>
                      <c:h val="0.19779449790998346"/>
                    </c:manualLayout>
                  </c15:layout>
                </c:ext>
                <c:ext xmlns:c16="http://schemas.microsoft.com/office/drawing/2014/chart" uri="{C3380CC4-5D6E-409C-BE32-E72D297353CC}">
                  <c16:uniqueId val="{00000005-A1B7-4ABC-A8EB-FD4D9CB8B1C0}"/>
                </c:ext>
              </c:extLst>
            </c:dLbl>
            <c:dLbl>
              <c:idx val="3"/>
              <c:layout>
                <c:manualLayout>
                  <c:x val="8.3234079725373236E-2"/>
                  <c:y val="1.0826532420555221E-5"/>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6472186045029655"/>
                      <c:h val="0.17495896177278042"/>
                    </c:manualLayout>
                  </c15:layout>
                </c:ext>
                <c:ext xmlns:c16="http://schemas.microsoft.com/office/drawing/2014/chart" uri="{C3380CC4-5D6E-409C-BE32-E72D297353CC}">
                  <c16:uniqueId val="{00000007-A1B7-4ABC-A8EB-FD4D9CB8B1C0}"/>
                </c:ext>
              </c:extLst>
            </c:dLbl>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t-E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ext>
            </c:extLst>
          </c:dLbls>
          <c:cat>
            <c:strRef>
              <c:f>'[1]SK lisa 3 (Diagrammid)'!$A$2:$A$5</c:f>
              <c:strCache>
                <c:ptCount val="4"/>
                <c:pt idx="0">
                  <c:v>Maksud</c:v>
                </c:pt>
                <c:pt idx="1">
                  <c:v>Teenused</c:v>
                </c:pt>
                <c:pt idx="2">
                  <c:v>Toetused</c:v>
                </c:pt>
                <c:pt idx="3">
                  <c:v>Muud</c:v>
                </c:pt>
              </c:strCache>
            </c:strRef>
          </c:cat>
          <c:val>
            <c:numRef>
              <c:f>'[1]SK lisa 3 (Diagrammid)'!$D$2:$D$5</c:f>
              <c:numCache>
                <c:formatCode>General</c:formatCode>
                <c:ptCount val="4"/>
                <c:pt idx="0">
                  <c:v>8320090</c:v>
                </c:pt>
                <c:pt idx="1">
                  <c:v>632036</c:v>
                </c:pt>
                <c:pt idx="2">
                  <c:v>3505669</c:v>
                </c:pt>
                <c:pt idx="3">
                  <c:v>60000</c:v>
                </c:pt>
              </c:numCache>
            </c:numRef>
          </c:val>
          <c:extLst>
            <c:ext xmlns:c16="http://schemas.microsoft.com/office/drawing/2014/chart" uri="{C3380CC4-5D6E-409C-BE32-E72D297353CC}">
              <c16:uniqueId val="{0000000A-A1B7-4ABC-A8EB-FD4D9CB8B1C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t-EE" sz="1200"/>
              <a:t>Põhitegevuse kulud majandusliku sisu alusel valdkonniti 2021. aastal võrreldes 2020. aasta eelarve täitmisega (tuhat eurot)</a:t>
            </a:r>
          </a:p>
        </c:rich>
      </c:tx>
      <c:layout>
        <c:manualLayout>
          <c:xMode val="edge"/>
          <c:yMode val="edge"/>
          <c:x val="7.8852949215726956E-2"/>
          <c:y val="1.1961722488038277E-2"/>
        </c:manualLayout>
      </c:layout>
      <c:overlay val="0"/>
    </c:title>
    <c:autoTitleDeleted val="0"/>
    <c:plotArea>
      <c:layout>
        <c:manualLayout>
          <c:layoutTarget val="inner"/>
          <c:xMode val="edge"/>
          <c:yMode val="edge"/>
          <c:x val="6.4841955395046405E-2"/>
          <c:y val="0.14277403534270711"/>
          <c:w val="0.69548730072863041"/>
          <c:h val="0.64308883439379083"/>
        </c:manualLayout>
      </c:layout>
      <c:barChart>
        <c:barDir val="col"/>
        <c:grouping val="stacked"/>
        <c:varyColors val="0"/>
        <c:ser>
          <c:idx val="0"/>
          <c:order val="0"/>
          <c:tx>
            <c:strRef>
              <c:f>lisa1!$C$31</c:f>
              <c:strCache>
                <c:ptCount val="1"/>
                <c:pt idx="0">
                  <c:v>majandamiskulud</c:v>
                </c:pt>
              </c:strCache>
            </c:strRef>
          </c:tx>
          <c:spPr>
            <a:solidFill>
              <a:schemeClr val="accent3"/>
            </a:solidFill>
          </c:spPr>
          <c:invertIfNegative val="0"/>
          <c:cat>
            <c:multiLvlStrRef>
              <c:f>lisa1!$A$32:$B$43</c:f>
              <c:multiLvlStrCache>
                <c:ptCount val="12"/>
                <c:lvl>
                  <c:pt idx="0">
                    <c:v>2021</c:v>
                  </c:pt>
                  <c:pt idx="1">
                    <c:v>2020</c:v>
                  </c:pt>
                  <c:pt idx="2">
                    <c:v>2021</c:v>
                  </c:pt>
                  <c:pt idx="3">
                    <c:v>2020</c:v>
                  </c:pt>
                  <c:pt idx="4">
                    <c:v>2021</c:v>
                  </c:pt>
                  <c:pt idx="5">
                    <c:v>2020</c:v>
                  </c:pt>
                  <c:pt idx="6">
                    <c:v>2021</c:v>
                  </c:pt>
                  <c:pt idx="7">
                    <c:v>2020</c:v>
                  </c:pt>
                  <c:pt idx="8">
                    <c:v>2021</c:v>
                  </c:pt>
                  <c:pt idx="9">
                    <c:v>2020</c:v>
                  </c:pt>
                  <c:pt idx="10">
                    <c:v>2021</c:v>
                  </c:pt>
                  <c:pt idx="11">
                    <c:v>2020</c:v>
                  </c:pt>
                </c:lvl>
                <c:lvl>
                  <c:pt idx="0">
                    <c:v>Haridus</c:v>
                  </c:pt>
                  <c:pt idx="2">
                    <c:v>Vaba aeg, kultuur, religioon</c:v>
                  </c:pt>
                  <c:pt idx="4">
                    <c:v>Sotsiaalne kaitse</c:v>
                  </c:pt>
                  <c:pt idx="6">
                    <c:v>Üldised valitsussektori teenused</c:v>
                  </c:pt>
                  <c:pt idx="8">
                    <c:v>Majandus</c:v>
                  </c:pt>
                  <c:pt idx="10">
                    <c:v>Muud</c:v>
                  </c:pt>
                </c:lvl>
              </c:multiLvlStrCache>
            </c:multiLvlStrRef>
          </c:cat>
          <c:val>
            <c:numRef>
              <c:f>lisa1!$C$32:$C$43</c:f>
              <c:numCache>
                <c:formatCode>General</c:formatCode>
                <c:ptCount val="12"/>
                <c:pt idx="0">
                  <c:v>1762.915</c:v>
                </c:pt>
                <c:pt idx="2">
                  <c:v>452.512</c:v>
                </c:pt>
                <c:pt idx="4">
                  <c:v>435.77199999999999</c:v>
                </c:pt>
                <c:pt idx="6">
                  <c:v>170.98</c:v>
                </c:pt>
                <c:pt idx="8">
                  <c:v>439.23700000000002</c:v>
                </c:pt>
                <c:pt idx="10">
                  <c:v>515.32399999999984</c:v>
                </c:pt>
              </c:numCache>
            </c:numRef>
          </c:val>
          <c:extLst>
            <c:ext xmlns:c16="http://schemas.microsoft.com/office/drawing/2014/chart" uri="{C3380CC4-5D6E-409C-BE32-E72D297353CC}">
              <c16:uniqueId val="{00000000-7776-4841-987C-3D27DABF1C04}"/>
            </c:ext>
          </c:extLst>
        </c:ser>
        <c:ser>
          <c:idx val="1"/>
          <c:order val="1"/>
          <c:tx>
            <c:strRef>
              <c:f>lisa1!$D$31</c:f>
              <c:strCache>
                <c:ptCount val="1"/>
                <c:pt idx="0">
                  <c:v>personalikulud</c:v>
                </c:pt>
              </c:strCache>
            </c:strRef>
          </c:tx>
          <c:spPr>
            <a:solidFill>
              <a:schemeClr val="accent4"/>
            </a:solidFill>
          </c:spPr>
          <c:invertIfNegative val="0"/>
          <c:cat>
            <c:multiLvlStrRef>
              <c:f>lisa1!$A$32:$B$43</c:f>
              <c:multiLvlStrCache>
                <c:ptCount val="12"/>
                <c:lvl>
                  <c:pt idx="0">
                    <c:v>2021</c:v>
                  </c:pt>
                  <c:pt idx="1">
                    <c:v>2020</c:v>
                  </c:pt>
                  <c:pt idx="2">
                    <c:v>2021</c:v>
                  </c:pt>
                  <c:pt idx="3">
                    <c:v>2020</c:v>
                  </c:pt>
                  <c:pt idx="4">
                    <c:v>2021</c:v>
                  </c:pt>
                  <c:pt idx="5">
                    <c:v>2020</c:v>
                  </c:pt>
                  <c:pt idx="6">
                    <c:v>2021</c:v>
                  </c:pt>
                  <c:pt idx="7">
                    <c:v>2020</c:v>
                  </c:pt>
                  <c:pt idx="8">
                    <c:v>2021</c:v>
                  </c:pt>
                  <c:pt idx="9">
                    <c:v>2020</c:v>
                  </c:pt>
                  <c:pt idx="10">
                    <c:v>2021</c:v>
                  </c:pt>
                  <c:pt idx="11">
                    <c:v>2020</c:v>
                  </c:pt>
                </c:lvl>
                <c:lvl>
                  <c:pt idx="0">
                    <c:v>Haridus</c:v>
                  </c:pt>
                  <c:pt idx="2">
                    <c:v>Vaba aeg, kultuur, religioon</c:v>
                  </c:pt>
                  <c:pt idx="4">
                    <c:v>Sotsiaalne kaitse</c:v>
                  </c:pt>
                  <c:pt idx="6">
                    <c:v>Üldised valitsussektori teenused</c:v>
                  </c:pt>
                  <c:pt idx="8">
                    <c:v>Majandus</c:v>
                  </c:pt>
                  <c:pt idx="10">
                    <c:v>Muud</c:v>
                  </c:pt>
                </c:lvl>
              </c:multiLvlStrCache>
            </c:multiLvlStrRef>
          </c:cat>
          <c:val>
            <c:numRef>
              <c:f>lisa1!$D$32:$D$43</c:f>
              <c:numCache>
                <c:formatCode>General</c:formatCode>
                <c:ptCount val="12"/>
                <c:pt idx="0">
                  <c:v>5482.0739999999996</c:v>
                </c:pt>
                <c:pt idx="2">
                  <c:v>569.68700000000001</c:v>
                </c:pt>
                <c:pt idx="4">
                  <c:v>156.62</c:v>
                </c:pt>
                <c:pt idx="6">
                  <c:v>479.14400000000001</c:v>
                </c:pt>
                <c:pt idx="8">
                  <c:v>174.36799999999999</c:v>
                </c:pt>
                <c:pt idx="10">
                  <c:v>170.72300000000035</c:v>
                </c:pt>
              </c:numCache>
            </c:numRef>
          </c:val>
          <c:extLst>
            <c:ext xmlns:c16="http://schemas.microsoft.com/office/drawing/2014/chart" uri="{C3380CC4-5D6E-409C-BE32-E72D297353CC}">
              <c16:uniqueId val="{00000001-7776-4841-987C-3D27DABF1C04}"/>
            </c:ext>
          </c:extLst>
        </c:ser>
        <c:ser>
          <c:idx val="2"/>
          <c:order val="2"/>
          <c:tx>
            <c:strRef>
              <c:f>lisa1!$E$31</c:f>
              <c:strCache>
                <c:ptCount val="1"/>
                <c:pt idx="0">
                  <c:v>antavad toetused</c:v>
                </c:pt>
              </c:strCache>
            </c:strRef>
          </c:tx>
          <c:spPr>
            <a:solidFill>
              <a:schemeClr val="accent5"/>
            </a:solidFill>
          </c:spPr>
          <c:invertIfNegative val="0"/>
          <c:cat>
            <c:multiLvlStrRef>
              <c:f>lisa1!$A$32:$B$43</c:f>
              <c:multiLvlStrCache>
                <c:ptCount val="12"/>
                <c:lvl>
                  <c:pt idx="0">
                    <c:v>2021</c:v>
                  </c:pt>
                  <c:pt idx="1">
                    <c:v>2020</c:v>
                  </c:pt>
                  <c:pt idx="2">
                    <c:v>2021</c:v>
                  </c:pt>
                  <c:pt idx="3">
                    <c:v>2020</c:v>
                  </c:pt>
                  <c:pt idx="4">
                    <c:v>2021</c:v>
                  </c:pt>
                  <c:pt idx="5">
                    <c:v>2020</c:v>
                  </c:pt>
                  <c:pt idx="6">
                    <c:v>2021</c:v>
                  </c:pt>
                  <c:pt idx="7">
                    <c:v>2020</c:v>
                  </c:pt>
                  <c:pt idx="8">
                    <c:v>2021</c:v>
                  </c:pt>
                  <c:pt idx="9">
                    <c:v>2020</c:v>
                  </c:pt>
                  <c:pt idx="10">
                    <c:v>2021</c:v>
                  </c:pt>
                  <c:pt idx="11">
                    <c:v>2020</c:v>
                  </c:pt>
                </c:lvl>
                <c:lvl>
                  <c:pt idx="0">
                    <c:v>Haridus</c:v>
                  </c:pt>
                  <c:pt idx="2">
                    <c:v>Vaba aeg, kultuur, religioon</c:v>
                  </c:pt>
                  <c:pt idx="4">
                    <c:v>Sotsiaalne kaitse</c:v>
                  </c:pt>
                  <c:pt idx="6">
                    <c:v>Üldised valitsussektori teenused</c:v>
                  </c:pt>
                  <c:pt idx="8">
                    <c:v>Majandus</c:v>
                  </c:pt>
                  <c:pt idx="10">
                    <c:v>Muud</c:v>
                  </c:pt>
                </c:lvl>
              </c:multiLvlStrCache>
            </c:multiLvlStrRef>
          </c:cat>
          <c:val>
            <c:numRef>
              <c:f>lisa1!$E$32:$E$43</c:f>
              <c:numCache>
                <c:formatCode>General</c:formatCode>
                <c:ptCount val="12"/>
                <c:pt idx="0">
                  <c:v>236.26900000000001</c:v>
                </c:pt>
                <c:pt idx="2">
                  <c:v>320.89600000000002</c:v>
                </c:pt>
                <c:pt idx="4">
                  <c:v>430.17500000000001</c:v>
                </c:pt>
                <c:pt idx="6">
                  <c:v>62.014000000000003</c:v>
                </c:pt>
                <c:pt idx="8">
                  <c:v>5</c:v>
                </c:pt>
                <c:pt idx="10">
                  <c:v>57.522999999999975</c:v>
                </c:pt>
              </c:numCache>
            </c:numRef>
          </c:val>
          <c:extLst>
            <c:ext xmlns:c16="http://schemas.microsoft.com/office/drawing/2014/chart" uri="{C3380CC4-5D6E-409C-BE32-E72D297353CC}">
              <c16:uniqueId val="{00000002-7776-4841-987C-3D27DABF1C04}"/>
            </c:ext>
          </c:extLst>
        </c:ser>
        <c:ser>
          <c:idx val="3"/>
          <c:order val="3"/>
          <c:tx>
            <c:strRef>
              <c:f>lisa1!$F$31</c:f>
              <c:strCache>
                <c:ptCount val="1"/>
                <c:pt idx="0">
                  <c:v>majandamiskulud</c:v>
                </c:pt>
              </c:strCache>
            </c:strRef>
          </c:tx>
          <c:spPr>
            <a:solidFill>
              <a:schemeClr val="accent3"/>
            </a:solidFill>
          </c:spPr>
          <c:invertIfNegative val="0"/>
          <c:cat>
            <c:multiLvlStrRef>
              <c:f>lisa1!$A$32:$B$43</c:f>
              <c:multiLvlStrCache>
                <c:ptCount val="12"/>
                <c:lvl>
                  <c:pt idx="0">
                    <c:v>2021</c:v>
                  </c:pt>
                  <c:pt idx="1">
                    <c:v>2020</c:v>
                  </c:pt>
                  <c:pt idx="2">
                    <c:v>2021</c:v>
                  </c:pt>
                  <c:pt idx="3">
                    <c:v>2020</c:v>
                  </c:pt>
                  <c:pt idx="4">
                    <c:v>2021</c:v>
                  </c:pt>
                  <c:pt idx="5">
                    <c:v>2020</c:v>
                  </c:pt>
                  <c:pt idx="6">
                    <c:v>2021</c:v>
                  </c:pt>
                  <c:pt idx="7">
                    <c:v>2020</c:v>
                  </c:pt>
                  <c:pt idx="8">
                    <c:v>2021</c:v>
                  </c:pt>
                  <c:pt idx="9">
                    <c:v>2020</c:v>
                  </c:pt>
                  <c:pt idx="10">
                    <c:v>2021</c:v>
                  </c:pt>
                  <c:pt idx="11">
                    <c:v>2020</c:v>
                  </c:pt>
                </c:lvl>
                <c:lvl>
                  <c:pt idx="0">
                    <c:v>Haridus</c:v>
                  </c:pt>
                  <c:pt idx="2">
                    <c:v>Vaba aeg, kultuur, religioon</c:v>
                  </c:pt>
                  <c:pt idx="4">
                    <c:v>Sotsiaalne kaitse</c:v>
                  </c:pt>
                  <c:pt idx="6">
                    <c:v>Üldised valitsussektori teenused</c:v>
                  </c:pt>
                  <c:pt idx="8">
                    <c:v>Majandus</c:v>
                  </c:pt>
                  <c:pt idx="10">
                    <c:v>Muud</c:v>
                  </c:pt>
                </c:lvl>
              </c:multiLvlStrCache>
            </c:multiLvlStrRef>
          </c:cat>
          <c:val>
            <c:numRef>
              <c:f>lisa1!$F$32:$F$43</c:f>
              <c:numCache>
                <c:formatCode>General</c:formatCode>
                <c:ptCount val="12"/>
                <c:pt idx="1">
                  <c:v>1342.867</c:v>
                </c:pt>
                <c:pt idx="3">
                  <c:v>289.45</c:v>
                </c:pt>
                <c:pt idx="5">
                  <c:v>395.56400000000002</c:v>
                </c:pt>
                <c:pt idx="7">
                  <c:v>127.895</c:v>
                </c:pt>
                <c:pt idx="9">
                  <c:v>365.30399999999997</c:v>
                </c:pt>
                <c:pt idx="11">
                  <c:v>361.13999999999976</c:v>
                </c:pt>
              </c:numCache>
            </c:numRef>
          </c:val>
          <c:extLst>
            <c:ext xmlns:c16="http://schemas.microsoft.com/office/drawing/2014/chart" uri="{C3380CC4-5D6E-409C-BE32-E72D297353CC}">
              <c16:uniqueId val="{00000003-7776-4841-987C-3D27DABF1C04}"/>
            </c:ext>
          </c:extLst>
        </c:ser>
        <c:ser>
          <c:idx val="4"/>
          <c:order val="4"/>
          <c:tx>
            <c:strRef>
              <c:f>lisa1!$G$31</c:f>
              <c:strCache>
                <c:ptCount val="1"/>
                <c:pt idx="0">
                  <c:v>personalikulud</c:v>
                </c:pt>
              </c:strCache>
            </c:strRef>
          </c:tx>
          <c:spPr>
            <a:solidFill>
              <a:schemeClr val="accent4"/>
            </a:solidFill>
          </c:spPr>
          <c:invertIfNegative val="0"/>
          <c:cat>
            <c:multiLvlStrRef>
              <c:f>lisa1!$A$32:$B$43</c:f>
              <c:multiLvlStrCache>
                <c:ptCount val="12"/>
                <c:lvl>
                  <c:pt idx="0">
                    <c:v>2021</c:v>
                  </c:pt>
                  <c:pt idx="1">
                    <c:v>2020</c:v>
                  </c:pt>
                  <c:pt idx="2">
                    <c:v>2021</c:v>
                  </c:pt>
                  <c:pt idx="3">
                    <c:v>2020</c:v>
                  </c:pt>
                  <c:pt idx="4">
                    <c:v>2021</c:v>
                  </c:pt>
                  <c:pt idx="5">
                    <c:v>2020</c:v>
                  </c:pt>
                  <c:pt idx="6">
                    <c:v>2021</c:v>
                  </c:pt>
                  <c:pt idx="7">
                    <c:v>2020</c:v>
                  </c:pt>
                  <c:pt idx="8">
                    <c:v>2021</c:v>
                  </c:pt>
                  <c:pt idx="9">
                    <c:v>2020</c:v>
                  </c:pt>
                  <c:pt idx="10">
                    <c:v>2021</c:v>
                  </c:pt>
                  <c:pt idx="11">
                    <c:v>2020</c:v>
                  </c:pt>
                </c:lvl>
                <c:lvl>
                  <c:pt idx="0">
                    <c:v>Haridus</c:v>
                  </c:pt>
                  <c:pt idx="2">
                    <c:v>Vaba aeg, kultuur, religioon</c:v>
                  </c:pt>
                  <c:pt idx="4">
                    <c:v>Sotsiaalne kaitse</c:v>
                  </c:pt>
                  <c:pt idx="6">
                    <c:v>Üldised valitsussektori teenused</c:v>
                  </c:pt>
                  <c:pt idx="8">
                    <c:v>Majandus</c:v>
                  </c:pt>
                  <c:pt idx="10">
                    <c:v>Muud</c:v>
                  </c:pt>
                </c:lvl>
              </c:multiLvlStrCache>
            </c:multiLvlStrRef>
          </c:cat>
          <c:val>
            <c:numRef>
              <c:f>lisa1!$G$32:$G$43</c:f>
              <c:numCache>
                <c:formatCode>General</c:formatCode>
                <c:ptCount val="12"/>
                <c:pt idx="1">
                  <c:v>5210.5410000000002</c:v>
                </c:pt>
                <c:pt idx="3">
                  <c:v>537.10299999999995</c:v>
                </c:pt>
                <c:pt idx="5">
                  <c:v>156.286</c:v>
                </c:pt>
                <c:pt idx="7">
                  <c:v>451.6</c:v>
                </c:pt>
                <c:pt idx="9">
                  <c:v>160.34800000000001</c:v>
                </c:pt>
                <c:pt idx="11">
                  <c:v>153.77199999999954</c:v>
                </c:pt>
              </c:numCache>
            </c:numRef>
          </c:val>
          <c:extLst>
            <c:ext xmlns:c16="http://schemas.microsoft.com/office/drawing/2014/chart" uri="{C3380CC4-5D6E-409C-BE32-E72D297353CC}">
              <c16:uniqueId val="{00000004-7776-4841-987C-3D27DABF1C04}"/>
            </c:ext>
          </c:extLst>
        </c:ser>
        <c:ser>
          <c:idx val="5"/>
          <c:order val="5"/>
          <c:tx>
            <c:strRef>
              <c:f>lisa1!$H$31</c:f>
              <c:strCache>
                <c:ptCount val="1"/>
                <c:pt idx="0">
                  <c:v>antavad toetuses</c:v>
                </c:pt>
              </c:strCache>
            </c:strRef>
          </c:tx>
          <c:spPr>
            <a:solidFill>
              <a:schemeClr val="accent5"/>
            </a:solidFill>
          </c:spPr>
          <c:invertIfNegative val="0"/>
          <c:cat>
            <c:multiLvlStrRef>
              <c:f>lisa1!$A$32:$B$43</c:f>
              <c:multiLvlStrCache>
                <c:ptCount val="12"/>
                <c:lvl>
                  <c:pt idx="0">
                    <c:v>2021</c:v>
                  </c:pt>
                  <c:pt idx="1">
                    <c:v>2020</c:v>
                  </c:pt>
                  <c:pt idx="2">
                    <c:v>2021</c:v>
                  </c:pt>
                  <c:pt idx="3">
                    <c:v>2020</c:v>
                  </c:pt>
                  <c:pt idx="4">
                    <c:v>2021</c:v>
                  </c:pt>
                  <c:pt idx="5">
                    <c:v>2020</c:v>
                  </c:pt>
                  <c:pt idx="6">
                    <c:v>2021</c:v>
                  </c:pt>
                  <c:pt idx="7">
                    <c:v>2020</c:v>
                  </c:pt>
                  <c:pt idx="8">
                    <c:v>2021</c:v>
                  </c:pt>
                  <c:pt idx="9">
                    <c:v>2020</c:v>
                  </c:pt>
                  <c:pt idx="10">
                    <c:v>2021</c:v>
                  </c:pt>
                  <c:pt idx="11">
                    <c:v>2020</c:v>
                  </c:pt>
                </c:lvl>
                <c:lvl>
                  <c:pt idx="0">
                    <c:v>Haridus</c:v>
                  </c:pt>
                  <c:pt idx="2">
                    <c:v>Vaba aeg, kultuur, religioon</c:v>
                  </c:pt>
                  <c:pt idx="4">
                    <c:v>Sotsiaalne kaitse</c:v>
                  </c:pt>
                  <c:pt idx="6">
                    <c:v>Üldised valitsussektori teenused</c:v>
                  </c:pt>
                  <c:pt idx="8">
                    <c:v>Majandus</c:v>
                  </c:pt>
                  <c:pt idx="10">
                    <c:v>Muud</c:v>
                  </c:pt>
                </c:lvl>
              </c:multiLvlStrCache>
            </c:multiLvlStrRef>
          </c:cat>
          <c:val>
            <c:numRef>
              <c:f>lisa1!$H$32:$H$43</c:f>
              <c:numCache>
                <c:formatCode>General</c:formatCode>
                <c:ptCount val="12"/>
                <c:pt idx="1">
                  <c:v>142.57</c:v>
                </c:pt>
                <c:pt idx="3">
                  <c:v>236.733</c:v>
                </c:pt>
                <c:pt idx="5">
                  <c:v>407.27199999999999</c:v>
                </c:pt>
                <c:pt idx="7">
                  <c:v>58.832999999999998</c:v>
                </c:pt>
                <c:pt idx="9">
                  <c:v>31.864000000000001</c:v>
                </c:pt>
                <c:pt idx="11">
                  <c:v>23.608000000000008</c:v>
                </c:pt>
              </c:numCache>
            </c:numRef>
          </c:val>
          <c:extLst>
            <c:ext xmlns:c16="http://schemas.microsoft.com/office/drawing/2014/chart" uri="{C3380CC4-5D6E-409C-BE32-E72D297353CC}">
              <c16:uniqueId val="{00000005-7776-4841-987C-3D27DABF1C04}"/>
            </c:ext>
          </c:extLst>
        </c:ser>
        <c:dLbls>
          <c:showLegendKey val="0"/>
          <c:showVal val="0"/>
          <c:showCatName val="0"/>
          <c:showSerName val="0"/>
          <c:showPercent val="0"/>
          <c:showBubbleSize val="0"/>
        </c:dLbls>
        <c:gapWidth val="15"/>
        <c:overlap val="100"/>
        <c:axId val="164870152"/>
        <c:axId val="183713504"/>
      </c:barChart>
      <c:lineChart>
        <c:grouping val="standard"/>
        <c:varyColors val="0"/>
        <c:ser>
          <c:idx val="6"/>
          <c:order val="6"/>
          <c:tx>
            <c:strRef>
              <c:f>lisa1!$I$31</c:f>
              <c:strCache>
                <c:ptCount val="1"/>
                <c:pt idx="0">
                  <c:v>muutus</c:v>
                </c:pt>
              </c:strCache>
            </c:strRef>
          </c:tx>
          <c:spPr>
            <a:ln>
              <a:noFill/>
            </a:ln>
          </c:spPr>
          <c:marker>
            <c:spPr>
              <a:solidFill>
                <a:schemeClr val="accent6"/>
              </a:solidFill>
              <a:ln>
                <a:noFill/>
              </a:ln>
            </c:spPr>
          </c:marker>
          <c:dPt>
            <c:idx val="1"/>
            <c:marker>
              <c:spPr>
                <a:noFill/>
                <a:ln>
                  <a:noFill/>
                </a:ln>
              </c:spPr>
            </c:marker>
            <c:bubble3D val="0"/>
            <c:extLst>
              <c:ext xmlns:c16="http://schemas.microsoft.com/office/drawing/2014/chart" uri="{C3380CC4-5D6E-409C-BE32-E72D297353CC}">
                <c16:uniqueId val="{00000006-7776-4841-987C-3D27DABF1C04}"/>
              </c:ext>
            </c:extLst>
          </c:dPt>
          <c:dPt>
            <c:idx val="3"/>
            <c:marker>
              <c:spPr>
                <a:noFill/>
                <a:ln>
                  <a:noFill/>
                </a:ln>
              </c:spPr>
            </c:marker>
            <c:bubble3D val="0"/>
            <c:extLst>
              <c:ext xmlns:c16="http://schemas.microsoft.com/office/drawing/2014/chart" uri="{C3380CC4-5D6E-409C-BE32-E72D297353CC}">
                <c16:uniqueId val="{00000007-7776-4841-987C-3D27DABF1C04}"/>
              </c:ext>
            </c:extLst>
          </c:dPt>
          <c:dPt>
            <c:idx val="5"/>
            <c:marker>
              <c:spPr>
                <a:noFill/>
                <a:ln>
                  <a:noFill/>
                </a:ln>
              </c:spPr>
            </c:marker>
            <c:bubble3D val="0"/>
            <c:extLst>
              <c:ext xmlns:c16="http://schemas.microsoft.com/office/drawing/2014/chart" uri="{C3380CC4-5D6E-409C-BE32-E72D297353CC}">
                <c16:uniqueId val="{00000008-7776-4841-987C-3D27DABF1C04}"/>
              </c:ext>
            </c:extLst>
          </c:dPt>
          <c:dPt>
            <c:idx val="7"/>
            <c:marker>
              <c:spPr>
                <a:noFill/>
                <a:ln>
                  <a:noFill/>
                </a:ln>
              </c:spPr>
            </c:marker>
            <c:bubble3D val="0"/>
            <c:extLst>
              <c:ext xmlns:c16="http://schemas.microsoft.com/office/drawing/2014/chart" uri="{C3380CC4-5D6E-409C-BE32-E72D297353CC}">
                <c16:uniqueId val="{00000009-7776-4841-987C-3D27DABF1C04}"/>
              </c:ext>
            </c:extLst>
          </c:dPt>
          <c:dPt>
            <c:idx val="9"/>
            <c:marker>
              <c:spPr>
                <a:noFill/>
                <a:ln>
                  <a:noFill/>
                </a:ln>
              </c:spPr>
            </c:marker>
            <c:bubble3D val="0"/>
            <c:extLst>
              <c:ext xmlns:c16="http://schemas.microsoft.com/office/drawing/2014/chart" uri="{C3380CC4-5D6E-409C-BE32-E72D297353CC}">
                <c16:uniqueId val="{0000000A-7776-4841-987C-3D27DABF1C04}"/>
              </c:ext>
            </c:extLst>
          </c:dPt>
          <c:dPt>
            <c:idx val="11"/>
            <c:marker>
              <c:spPr>
                <a:noFill/>
                <a:ln>
                  <a:noFill/>
                </a:ln>
              </c:spPr>
            </c:marker>
            <c:bubble3D val="0"/>
            <c:extLst>
              <c:ext xmlns:c16="http://schemas.microsoft.com/office/drawing/2014/chart" uri="{C3380CC4-5D6E-409C-BE32-E72D297353CC}">
                <c16:uniqueId val="{0000000B-7776-4841-987C-3D27DABF1C04}"/>
              </c:ext>
            </c:extLst>
          </c:dPt>
          <c:dLbls>
            <c:dLbl>
              <c:idx val="1"/>
              <c:delete val="1"/>
              <c:extLst>
                <c:ext xmlns:c15="http://schemas.microsoft.com/office/drawing/2012/chart" uri="{CE6537A1-D6FC-4f65-9D91-7224C49458BB}"/>
                <c:ext xmlns:c16="http://schemas.microsoft.com/office/drawing/2014/chart" uri="{C3380CC4-5D6E-409C-BE32-E72D297353CC}">
                  <c16:uniqueId val="{00000006-7776-4841-987C-3D27DABF1C04}"/>
                </c:ext>
              </c:extLst>
            </c:dLbl>
            <c:dLbl>
              <c:idx val="3"/>
              <c:delete val="1"/>
              <c:extLst>
                <c:ext xmlns:c15="http://schemas.microsoft.com/office/drawing/2012/chart" uri="{CE6537A1-D6FC-4f65-9D91-7224C49458BB}"/>
                <c:ext xmlns:c16="http://schemas.microsoft.com/office/drawing/2014/chart" uri="{C3380CC4-5D6E-409C-BE32-E72D297353CC}">
                  <c16:uniqueId val="{00000007-7776-4841-987C-3D27DABF1C04}"/>
                </c:ext>
              </c:extLst>
            </c:dLbl>
            <c:dLbl>
              <c:idx val="5"/>
              <c:delete val="1"/>
              <c:extLst>
                <c:ext xmlns:c15="http://schemas.microsoft.com/office/drawing/2012/chart" uri="{CE6537A1-D6FC-4f65-9D91-7224C49458BB}"/>
                <c:ext xmlns:c16="http://schemas.microsoft.com/office/drawing/2014/chart" uri="{C3380CC4-5D6E-409C-BE32-E72D297353CC}">
                  <c16:uniqueId val="{00000008-7776-4841-987C-3D27DABF1C04}"/>
                </c:ext>
              </c:extLst>
            </c:dLbl>
            <c:dLbl>
              <c:idx val="7"/>
              <c:delete val="1"/>
              <c:extLst>
                <c:ext xmlns:c15="http://schemas.microsoft.com/office/drawing/2012/chart" uri="{CE6537A1-D6FC-4f65-9D91-7224C49458BB}"/>
                <c:ext xmlns:c16="http://schemas.microsoft.com/office/drawing/2014/chart" uri="{C3380CC4-5D6E-409C-BE32-E72D297353CC}">
                  <c16:uniqueId val="{00000009-7776-4841-987C-3D27DABF1C04}"/>
                </c:ext>
              </c:extLst>
            </c:dLbl>
            <c:dLbl>
              <c:idx val="9"/>
              <c:delete val="1"/>
              <c:extLst>
                <c:ext xmlns:c15="http://schemas.microsoft.com/office/drawing/2012/chart" uri="{CE6537A1-D6FC-4f65-9D91-7224C49458BB}"/>
                <c:ext xmlns:c16="http://schemas.microsoft.com/office/drawing/2014/chart" uri="{C3380CC4-5D6E-409C-BE32-E72D297353CC}">
                  <c16:uniqueId val="{0000000A-7776-4841-987C-3D27DABF1C04}"/>
                </c:ext>
              </c:extLst>
            </c:dLbl>
            <c:dLbl>
              <c:idx val="11"/>
              <c:delete val="1"/>
              <c:extLst>
                <c:ext xmlns:c15="http://schemas.microsoft.com/office/drawing/2012/chart" uri="{CE6537A1-D6FC-4f65-9D91-7224C49458BB}"/>
                <c:ext xmlns:c16="http://schemas.microsoft.com/office/drawing/2014/chart" uri="{C3380CC4-5D6E-409C-BE32-E72D297353CC}">
                  <c16:uniqueId val="{0000000B-7776-4841-987C-3D27DABF1C04}"/>
                </c:ext>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lisa1!$A$32:$B$43</c:f>
              <c:multiLvlStrCache>
                <c:ptCount val="12"/>
                <c:lvl>
                  <c:pt idx="0">
                    <c:v>2021</c:v>
                  </c:pt>
                  <c:pt idx="1">
                    <c:v>2020</c:v>
                  </c:pt>
                  <c:pt idx="2">
                    <c:v>2021</c:v>
                  </c:pt>
                  <c:pt idx="3">
                    <c:v>2020</c:v>
                  </c:pt>
                  <c:pt idx="4">
                    <c:v>2021</c:v>
                  </c:pt>
                  <c:pt idx="5">
                    <c:v>2020</c:v>
                  </c:pt>
                  <c:pt idx="6">
                    <c:v>2021</c:v>
                  </c:pt>
                  <c:pt idx="7">
                    <c:v>2020</c:v>
                  </c:pt>
                  <c:pt idx="8">
                    <c:v>2021</c:v>
                  </c:pt>
                  <c:pt idx="9">
                    <c:v>2020</c:v>
                  </c:pt>
                  <c:pt idx="10">
                    <c:v>2021</c:v>
                  </c:pt>
                  <c:pt idx="11">
                    <c:v>2020</c:v>
                  </c:pt>
                </c:lvl>
                <c:lvl>
                  <c:pt idx="0">
                    <c:v>Haridus</c:v>
                  </c:pt>
                  <c:pt idx="2">
                    <c:v>Vaba aeg, kultuur, religioon</c:v>
                  </c:pt>
                  <c:pt idx="4">
                    <c:v>Sotsiaalne kaitse</c:v>
                  </c:pt>
                  <c:pt idx="6">
                    <c:v>Üldised valitsussektori teenused</c:v>
                  </c:pt>
                  <c:pt idx="8">
                    <c:v>Majandus</c:v>
                  </c:pt>
                  <c:pt idx="10">
                    <c:v>Muud</c:v>
                  </c:pt>
                </c:lvl>
              </c:multiLvlStrCache>
            </c:multiLvlStrRef>
          </c:cat>
          <c:val>
            <c:numRef>
              <c:f>lisa1!$I$32:$I$43</c:f>
              <c:numCache>
                <c:formatCode>General</c:formatCode>
                <c:ptCount val="12"/>
                <c:pt idx="0" formatCode="0%">
                  <c:v>0.11727637097971355</c:v>
                </c:pt>
                <c:pt idx="2" formatCode="0%">
                  <c:v>0.26315497429666168</c:v>
                </c:pt>
                <c:pt idx="4" formatCode="0%">
                  <c:v>6.6149040476602528E-2</c:v>
                </c:pt>
                <c:pt idx="6" formatCode="0%">
                  <c:v>0.11563020892080567</c:v>
                </c:pt>
                <c:pt idx="8" formatCode="0%">
                  <c:v>0.10957353690297666</c:v>
                </c:pt>
                <c:pt idx="10" formatCode="0%">
                  <c:v>0.38076580257000869</c:v>
                </c:pt>
              </c:numCache>
            </c:numRef>
          </c:val>
          <c:smooth val="0"/>
          <c:extLst>
            <c:ext xmlns:c16="http://schemas.microsoft.com/office/drawing/2014/chart" uri="{C3380CC4-5D6E-409C-BE32-E72D297353CC}">
              <c16:uniqueId val="{0000000C-7776-4841-987C-3D27DABF1C04}"/>
            </c:ext>
          </c:extLst>
        </c:ser>
        <c:dLbls>
          <c:showLegendKey val="0"/>
          <c:showVal val="0"/>
          <c:showCatName val="0"/>
          <c:showSerName val="0"/>
          <c:showPercent val="0"/>
          <c:showBubbleSize val="0"/>
        </c:dLbls>
        <c:marker val="1"/>
        <c:smooth val="0"/>
        <c:axId val="183713112"/>
        <c:axId val="183712720"/>
      </c:lineChart>
      <c:catAx>
        <c:axId val="164870152"/>
        <c:scaling>
          <c:orientation val="minMax"/>
        </c:scaling>
        <c:delete val="0"/>
        <c:axPos val="b"/>
        <c:numFmt formatCode="General" sourceLinked="0"/>
        <c:majorTickMark val="out"/>
        <c:minorTickMark val="none"/>
        <c:tickLblPos val="nextTo"/>
        <c:crossAx val="183713504"/>
        <c:crosses val="autoZero"/>
        <c:auto val="1"/>
        <c:lblAlgn val="ctr"/>
        <c:lblOffset val="100"/>
        <c:noMultiLvlLbl val="0"/>
      </c:catAx>
      <c:valAx>
        <c:axId val="183713504"/>
        <c:scaling>
          <c:orientation val="minMax"/>
        </c:scaling>
        <c:delete val="0"/>
        <c:axPos val="l"/>
        <c:majorGridlines/>
        <c:numFmt formatCode="#,##0" sourceLinked="0"/>
        <c:majorTickMark val="out"/>
        <c:minorTickMark val="none"/>
        <c:tickLblPos val="nextTo"/>
        <c:crossAx val="164870152"/>
        <c:crosses val="autoZero"/>
        <c:crossBetween val="between"/>
      </c:valAx>
      <c:valAx>
        <c:axId val="183712720"/>
        <c:scaling>
          <c:orientation val="minMax"/>
        </c:scaling>
        <c:delete val="0"/>
        <c:axPos val="r"/>
        <c:numFmt formatCode="0%" sourceLinked="1"/>
        <c:majorTickMark val="out"/>
        <c:minorTickMark val="none"/>
        <c:tickLblPos val="nextTo"/>
        <c:crossAx val="183713112"/>
        <c:crosses val="max"/>
        <c:crossBetween val="between"/>
      </c:valAx>
      <c:catAx>
        <c:axId val="183713112"/>
        <c:scaling>
          <c:orientation val="minMax"/>
        </c:scaling>
        <c:delete val="1"/>
        <c:axPos val="b"/>
        <c:numFmt formatCode="General" sourceLinked="1"/>
        <c:majorTickMark val="out"/>
        <c:minorTickMark val="none"/>
        <c:tickLblPos val="none"/>
        <c:crossAx val="183712720"/>
        <c:crosses val="autoZero"/>
        <c:auto val="1"/>
        <c:lblAlgn val="ctr"/>
        <c:lblOffset val="100"/>
        <c:noMultiLvlLbl val="0"/>
      </c:catAx>
    </c:plotArea>
    <c:legend>
      <c:legendPos val="r"/>
      <c:legendEntry>
        <c:idx val="0"/>
        <c:delete val="1"/>
      </c:legendEntry>
      <c:legendEntry>
        <c:idx val="1"/>
        <c:delete val="1"/>
      </c:legendEntry>
      <c:legendEntry>
        <c:idx val="2"/>
        <c:delete val="1"/>
      </c:legendEntry>
      <c:overlay val="0"/>
    </c:legend>
    <c:plotVisOnly val="1"/>
    <c:dispBlanksAs val="zero"/>
    <c:showDLblsOverMax val="0"/>
  </c:chart>
  <c:txPr>
    <a:bodyPr/>
    <a:lstStyle/>
    <a:p>
      <a:pPr>
        <a:defRPr sz="900">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t-EE" sz="1200"/>
              <a:t>Investeeringud valdkondade ja finantseerimisallikate kaupa (tuhat eurot)</a:t>
            </a:r>
          </a:p>
        </c:rich>
      </c:tx>
      <c:layout>
        <c:manualLayout>
          <c:xMode val="edge"/>
          <c:yMode val="edge"/>
          <c:x val="0.16032954535589336"/>
          <c:y val="1.2187947173524782E-3"/>
        </c:manualLayout>
      </c:layout>
      <c:overlay val="0"/>
    </c:title>
    <c:autoTitleDeleted val="0"/>
    <c:plotArea>
      <c:layout>
        <c:manualLayout>
          <c:layoutTarget val="inner"/>
          <c:xMode val="edge"/>
          <c:yMode val="edge"/>
          <c:x val="5.252662861586746E-2"/>
          <c:y val="0.10815848168946111"/>
          <c:w val="0.93436126039800571"/>
          <c:h val="0.79500644359856742"/>
        </c:manualLayout>
      </c:layout>
      <c:barChart>
        <c:barDir val="col"/>
        <c:grouping val="stacked"/>
        <c:varyColors val="0"/>
        <c:ser>
          <c:idx val="0"/>
          <c:order val="0"/>
          <c:tx>
            <c:strRef>
              <c:f>lisa2!$A$30</c:f>
              <c:strCache>
                <c:ptCount val="1"/>
                <c:pt idx="0">
                  <c:v>toetus</c:v>
                </c:pt>
              </c:strCache>
            </c:strRef>
          </c:tx>
          <c:spPr>
            <a:solidFill>
              <a:schemeClr val="accent4"/>
            </a:solidFill>
          </c:spPr>
          <c:invertIfNegative val="0"/>
          <c:cat>
            <c:strRef>
              <c:f>lisa2!$B$29:$G$29</c:f>
              <c:strCache>
                <c:ptCount val="6"/>
                <c:pt idx="0">
                  <c:v>Majandus</c:v>
                </c:pt>
                <c:pt idx="1">
                  <c:v>Haridus</c:v>
                </c:pt>
                <c:pt idx="2">
                  <c:v>Vaba aeg, kultuur, religioon</c:v>
                </c:pt>
                <c:pt idx="3">
                  <c:v>Keskkonnakaitse</c:v>
                </c:pt>
                <c:pt idx="4">
                  <c:v>Elamu- ja Kommunaalmajandus</c:v>
                </c:pt>
                <c:pt idx="5">
                  <c:v>Muud</c:v>
                </c:pt>
              </c:strCache>
            </c:strRef>
          </c:cat>
          <c:val>
            <c:numRef>
              <c:f>lisa2!$B$30:$G$30</c:f>
              <c:numCache>
                <c:formatCode>General</c:formatCode>
                <c:ptCount val="6"/>
                <c:pt idx="0">
                  <c:v>0</c:v>
                </c:pt>
                <c:pt idx="1">
                  <c:v>56</c:v>
                </c:pt>
                <c:pt idx="2">
                  <c:v>205</c:v>
                </c:pt>
                <c:pt idx="3">
                  <c:v>180</c:v>
                </c:pt>
                <c:pt idx="4">
                  <c:v>130</c:v>
                </c:pt>
                <c:pt idx="5">
                  <c:v>0</c:v>
                </c:pt>
              </c:numCache>
            </c:numRef>
          </c:val>
          <c:extLst>
            <c:ext xmlns:c16="http://schemas.microsoft.com/office/drawing/2014/chart" uri="{C3380CC4-5D6E-409C-BE32-E72D297353CC}">
              <c16:uniqueId val="{00000000-BF76-4EFC-959B-E5B4A227CE7E}"/>
            </c:ext>
          </c:extLst>
        </c:ser>
        <c:ser>
          <c:idx val="1"/>
          <c:order val="1"/>
          <c:tx>
            <c:strRef>
              <c:f>lisa2!$A$31</c:f>
              <c:strCache>
                <c:ptCount val="1"/>
                <c:pt idx="0">
                  <c:v>oma- või võõrvahendid</c:v>
                </c:pt>
              </c:strCache>
            </c:strRef>
          </c:tx>
          <c:spPr>
            <a:solidFill>
              <a:schemeClr val="accent3"/>
            </a:solidFill>
          </c:spPr>
          <c:invertIfNegative val="0"/>
          <c:cat>
            <c:strRef>
              <c:f>lisa2!$B$29:$G$29</c:f>
              <c:strCache>
                <c:ptCount val="6"/>
                <c:pt idx="0">
                  <c:v>Majandus</c:v>
                </c:pt>
                <c:pt idx="1">
                  <c:v>Haridus</c:v>
                </c:pt>
                <c:pt idx="2">
                  <c:v>Vaba aeg, kultuur, religioon</c:v>
                </c:pt>
                <c:pt idx="3">
                  <c:v>Keskkonnakaitse</c:v>
                </c:pt>
                <c:pt idx="4">
                  <c:v>Elamu- ja Kommunaalmajandus</c:v>
                </c:pt>
                <c:pt idx="5">
                  <c:v>Muud</c:v>
                </c:pt>
              </c:strCache>
            </c:strRef>
          </c:cat>
          <c:val>
            <c:numRef>
              <c:f>lisa2!$B$31:$G$31</c:f>
              <c:numCache>
                <c:formatCode>General</c:formatCode>
                <c:ptCount val="6"/>
                <c:pt idx="0">
                  <c:v>3282.2820000000002</c:v>
                </c:pt>
                <c:pt idx="1">
                  <c:v>2448.9789999999998</c:v>
                </c:pt>
                <c:pt idx="2">
                  <c:v>562.6</c:v>
                </c:pt>
                <c:pt idx="3">
                  <c:v>116.30800000000001</c:v>
                </c:pt>
                <c:pt idx="4">
                  <c:v>155</c:v>
                </c:pt>
                <c:pt idx="5">
                  <c:v>0</c:v>
                </c:pt>
              </c:numCache>
            </c:numRef>
          </c:val>
          <c:extLst>
            <c:ext xmlns:c16="http://schemas.microsoft.com/office/drawing/2014/chart" uri="{C3380CC4-5D6E-409C-BE32-E72D297353CC}">
              <c16:uniqueId val="{00000001-BF76-4EFC-959B-E5B4A227CE7E}"/>
            </c:ext>
          </c:extLst>
        </c:ser>
        <c:dLbls>
          <c:showLegendKey val="0"/>
          <c:showVal val="0"/>
          <c:showCatName val="0"/>
          <c:showSerName val="0"/>
          <c:showPercent val="0"/>
          <c:showBubbleSize val="0"/>
        </c:dLbls>
        <c:gapWidth val="15"/>
        <c:overlap val="100"/>
        <c:axId val="164175896"/>
        <c:axId val="163890600"/>
      </c:barChart>
      <c:lineChart>
        <c:grouping val="standard"/>
        <c:varyColors val="0"/>
        <c:ser>
          <c:idx val="2"/>
          <c:order val="2"/>
          <c:tx>
            <c:strRef>
              <c:f>lisa2!$A$32</c:f>
              <c:strCache>
                <c:ptCount val="1"/>
                <c:pt idx="0">
                  <c:v>2020</c:v>
                </c:pt>
              </c:strCache>
            </c:strRef>
          </c:tx>
          <c:spPr>
            <a:ln>
              <a:solidFill>
                <a:schemeClr val="accent6"/>
              </a:solidFill>
            </a:ln>
          </c:spPr>
          <c:marker>
            <c:spPr>
              <a:solidFill>
                <a:schemeClr val="accent6"/>
              </a:solidFill>
              <a:ln>
                <a:solidFill>
                  <a:schemeClr val="accent6"/>
                </a:solidFill>
              </a:ln>
            </c:spPr>
          </c:marker>
          <c:cat>
            <c:strRef>
              <c:f>lisa2!$B$29:$G$29</c:f>
              <c:strCache>
                <c:ptCount val="6"/>
                <c:pt idx="0">
                  <c:v>Majandus</c:v>
                </c:pt>
                <c:pt idx="1">
                  <c:v>Haridus</c:v>
                </c:pt>
                <c:pt idx="2">
                  <c:v>Vaba aeg, kultuur, religioon</c:v>
                </c:pt>
                <c:pt idx="3">
                  <c:v>Keskkonnakaitse</c:v>
                </c:pt>
                <c:pt idx="4">
                  <c:v>Elamu- ja Kommunaalmajandus</c:v>
                </c:pt>
                <c:pt idx="5">
                  <c:v>Muud</c:v>
                </c:pt>
              </c:strCache>
            </c:strRef>
          </c:cat>
          <c:val>
            <c:numRef>
              <c:f>lisa2!$B$32:$G$32</c:f>
              <c:numCache>
                <c:formatCode>General</c:formatCode>
                <c:ptCount val="6"/>
                <c:pt idx="0">
                  <c:v>1135.873</c:v>
                </c:pt>
                <c:pt idx="1">
                  <c:v>528.82799999999997</c:v>
                </c:pt>
                <c:pt idx="2">
                  <c:v>179.708</c:v>
                </c:pt>
                <c:pt idx="3">
                  <c:v>54.177999999999997</c:v>
                </c:pt>
                <c:pt idx="4">
                  <c:v>30.033000000000001</c:v>
                </c:pt>
                <c:pt idx="5">
                  <c:v>0</c:v>
                </c:pt>
              </c:numCache>
            </c:numRef>
          </c:val>
          <c:smooth val="0"/>
          <c:extLst>
            <c:ext xmlns:c16="http://schemas.microsoft.com/office/drawing/2014/chart" uri="{C3380CC4-5D6E-409C-BE32-E72D297353CC}">
              <c16:uniqueId val="{00000002-BF76-4EFC-959B-E5B4A227CE7E}"/>
            </c:ext>
          </c:extLst>
        </c:ser>
        <c:dLbls>
          <c:showLegendKey val="0"/>
          <c:showVal val="0"/>
          <c:showCatName val="0"/>
          <c:showSerName val="0"/>
          <c:showPercent val="0"/>
          <c:showBubbleSize val="0"/>
        </c:dLbls>
        <c:marker val="1"/>
        <c:smooth val="0"/>
        <c:axId val="164175896"/>
        <c:axId val="163890600"/>
      </c:lineChart>
      <c:catAx>
        <c:axId val="164175896"/>
        <c:scaling>
          <c:orientation val="minMax"/>
        </c:scaling>
        <c:delete val="0"/>
        <c:axPos val="b"/>
        <c:numFmt formatCode="General" sourceLinked="0"/>
        <c:majorTickMark val="out"/>
        <c:minorTickMark val="none"/>
        <c:tickLblPos val="nextTo"/>
        <c:crossAx val="163890600"/>
        <c:crosses val="autoZero"/>
        <c:auto val="1"/>
        <c:lblAlgn val="ctr"/>
        <c:lblOffset val="100"/>
        <c:noMultiLvlLbl val="0"/>
      </c:catAx>
      <c:valAx>
        <c:axId val="163890600"/>
        <c:scaling>
          <c:orientation val="minMax"/>
        </c:scaling>
        <c:delete val="0"/>
        <c:axPos val="l"/>
        <c:majorGridlines/>
        <c:numFmt formatCode="General" sourceLinked="1"/>
        <c:majorTickMark val="out"/>
        <c:minorTickMark val="none"/>
        <c:tickLblPos val="nextTo"/>
        <c:crossAx val="164175896"/>
        <c:crosses val="autoZero"/>
        <c:crossBetween val="between"/>
      </c:valAx>
    </c:plotArea>
    <c:legend>
      <c:legendPos val="r"/>
      <c:layout>
        <c:manualLayout>
          <c:xMode val="edge"/>
          <c:yMode val="edge"/>
          <c:x val="0.61299017622797158"/>
          <c:y val="0.14445064957249062"/>
          <c:w val="0.17367649043869515"/>
          <c:h val="0.25981676001278442"/>
        </c:manualLayout>
      </c:layout>
      <c:overlay val="0"/>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38BB7-035E-4462-98FA-41914A22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859</Words>
  <Characters>4988</Characters>
  <Application>Microsoft Office Word</Application>
  <DocSecurity>0</DocSecurity>
  <Lines>41</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Rahandusministeerium</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pirgit.lohk</dc:creator>
  <cp:lastModifiedBy>Ly Mäll</cp:lastModifiedBy>
  <cp:revision>2</cp:revision>
  <cp:lastPrinted>2016-02-29T12:29:00Z</cp:lastPrinted>
  <dcterms:created xsi:type="dcterms:W3CDTF">2021-04-20T06:43:00Z</dcterms:created>
  <dcterms:modified xsi:type="dcterms:W3CDTF">2021-04-20T06:43:00Z</dcterms:modified>
</cp:coreProperties>
</file>