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D0168" w14:textId="77777777" w:rsidR="00CB4DD7" w:rsidRDefault="00BB4043" w:rsidP="00CB4DD7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B4043">
        <w:rPr>
          <w:rFonts w:ascii="Times New Roman" w:hAnsi="Times New Roman"/>
          <w:b/>
          <w:color w:val="0070C0"/>
          <w:sz w:val="24"/>
          <w:szCs w:val="24"/>
        </w:rPr>
        <w:t>Lühiülevaade 201</w:t>
      </w:r>
      <w:r w:rsidR="009679F5">
        <w:rPr>
          <w:rFonts w:ascii="Times New Roman" w:hAnsi="Times New Roman"/>
          <w:b/>
          <w:color w:val="0070C0"/>
          <w:sz w:val="24"/>
          <w:szCs w:val="24"/>
        </w:rPr>
        <w:t>9</w:t>
      </w:r>
      <w:r w:rsidRPr="00BB4043">
        <w:rPr>
          <w:rFonts w:ascii="Times New Roman" w:hAnsi="Times New Roman"/>
          <w:b/>
          <w:color w:val="0070C0"/>
          <w:sz w:val="24"/>
          <w:szCs w:val="24"/>
        </w:rPr>
        <w:t>. aasta valla eelarve</w:t>
      </w:r>
      <w:r w:rsidR="00CB4DD7">
        <w:rPr>
          <w:rFonts w:ascii="Times New Roman" w:hAnsi="Times New Roman"/>
          <w:b/>
          <w:color w:val="0070C0"/>
          <w:sz w:val="24"/>
          <w:szCs w:val="24"/>
        </w:rPr>
        <w:t xml:space="preserve"> täitmisest</w:t>
      </w:r>
    </w:p>
    <w:p w14:paraId="046BA776" w14:textId="77777777" w:rsidR="00BB4043" w:rsidRPr="00BB4043" w:rsidRDefault="00BB4043" w:rsidP="00BB4043">
      <w:pPr>
        <w:pStyle w:val="Pealkiri10"/>
        <w:jc w:val="both"/>
        <w:rPr>
          <w:rFonts w:ascii="Times New Roman" w:hAnsi="Times New Roman"/>
          <w:color w:val="0070C0"/>
        </w:rPr>
      </w:pPr>
      <w:r w:rsidRPr="00BB4043">
        <w:rPr>
          <w:rFonts w:ascii="Times New Roman" w:hAnsi="Times New Roman"/>
          <w:color w:val="0070C0"/>
        </w:rPr>
        <w:t>201</w:t>
      </w:r>
      <w:r w:rsidR="009679F5">
        <w:rPr>
          <w:rFonts w:ascii="Times New Roman" w:hAnsi="Times New Roman"/>
          <w:color w:val="0070C0"/>
        </w:rPr>
        <w:t>9</w:t>
      </w:r>
      <w:r w:rsidRPr="00BB4043">
        <w:rPr>
          <w:rFonts w:ascii="Times New Roman" w:hAnsi="Times New Roman"/>
          <w:color w:val="0070C0"/>
        </w:rPr>
        <w:t>. aastaks o</w:t>
      </w:r>
      <w:r>
        <w:rPr>
          <w:rFonts w:ascii="Times New Roman" w:hAnsi="Times New Roman"/>
          <w:color w:val="0070C0"/>
        </w:rPr>
        <w:t>li</w:t>
      </w:r>
      <w:r w:rsidRPr="00BB4043">
        <w:rPr>
          <w:rFonts w:ascii="Times New Roman" w:hAnsi="Times New Roman"/>
          <w:color w:val="0070C0"/>
        </w:rPr>
        <w:t xml:space="preserve"> vallal </w:t>
      </w:r>
      <w:r w:rsidR="00EB14D0">
        <w:rPr>
          <w:rFonts w:ascii="Times New Roman" w:hAnsi="Times New Roman"/>
          <w:color w:val="0070C0"/>
        </w:rPr>
        <w:t xml:space="preserve">seatud </w:t>
      </w:r>
      <w:r w:rsidRPr="00BB4043">
        <w:rPr>
          <w:rFonts w:ascii="Times New Roman" w:hAnsi="Times New Roman"/>
          <w:color w:val="0070C0"/>
        </w:rPr>
        <w:t>3 prioriteeti:</w:t>
      </w:r>
    </w:p>
    <w:p w14:paraId="31040195" w14:textId="47B824BC" w:rsidR="00BB4043" w:rsidRPr="00D44A16" w:rsidRDefault="00BB4043" w:rsidP="00BB404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44A16">
        <w:rPr>
          <w:rFonts w:ascii="Times New Roman" w:hAnsi="Times New Roman"/>
          <w:b/>
        </w:rPr>
        <w:t xml:space="preserve">Vald on konkurentsivõimeline tööandja: </w:t>
      </w:r>
      <w:r w:rsidRPr="00D44A16">
        <w:rPr>
          <w:rFonts w:ascii="Times New Roman" w:hAnsi="Times New Roman"/>
        </w:rPr>
        <w:t>töötajate töötasu tõstmine</w:t>
      </w:r>
      <w:r w:rsidR="00684EA0">
        <w:rPr>
          <w:rFonts w:ascii="Times New Roman" w:hAnsi="Times New Roman"/>
        </w:rPr>
        <w:t xml:space="preserve"> ja koolituste võimaldamine</w:t>
      </w:r>
    </w:p>
    <w:p w14:paraId="01BD6EF3" w14:textId="4D3FE900" w:rsidR="00BB4043" w:rsidRPr="00D44A16" w:rsidRDefault="00BB4043" w:rsidP="00BB404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44A16">
        <w:rPr>
          <w:rFonts w:ascii="Times New Roman" w:hAnsi="Times New Roman"/>
          <w:b/>
        </w:rPr>
        <w:t xml:space="preserve">Hariduse kättesaadavuse tagamine: </w:t>
      </w:r>
      <w:r w:rsidR="00BD6636">
        <w:rPr>
          <w:rFonts w:ascii="Times New Roman" w:hAnsi="Times New Roman"/>
        </w:rPr>
        <w:t>haridusasutustele uute ja paremate võimaluste loomine</w:t>
      </w:r>
      <w:r w:rsidRPr="00D44A16">
        <w:rPr>
          <w:rFonts w:ascii="Times New Roman" w:hAnsi="Times New Roman"/>
        </w:rPr>
        <w:t>.</w:t>
      </w:r>
    </w:p>
    <w:p w14:paraId="5B560E22" w14:textId="06F6344F" w:rsidR="00BB4043" w:rsidRPr="00D44A16" w:rsidRDefault="00BB4043" w:rsidP="00BB404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44A16">
        <w:rPr>
          <w:rFonts w:ascii="Times New Roman" w:hAnsi="Times New Roman"/>
          <w:b/>
        </w:rPr>
        <w:t xml:space="preserve">Jätkusuutlik eelarvepositsioon: </w:t>
      </w:r>
      <w:r w:rsidRPr="00D44A16">
        <w:rPr>
          <w:rFonts w:ascii="Times New Roman" w:hAnsi="Times New Roman"/>
        </w:rPr>
        <w:t>aastavahetuseks kogunenud likviidset vara kasutata</w:t>
      </w:r>
      <w:r w:rsidR="00451CAA">
        <w:rPr>
          <w:rFonts w:ascii="Times New Roman" w:hAnsi="Times New Roman"/>
        </w:rPr>
        <w:t>kse</w:t>
      </w:r>
      <w:r w:rsidRPr="00D44A16">
        <w:rPr>
          <w:rFonts w:ascii="Times New Roman" w:hAnsi="Times New Roman"/>
        </w:rPr>
        <w:t xml:space="preserve"> </w:t>
      </w:r>
      <w:r w:rsidR="00451CAA">
        <w:rPr>
          <w:rFonts w:ascii="Times New Roman" w:hAnsi="Times New Roman"/>
        </w:rPr>
        <w:t xml:space="preserve">vaid </w:t>
      </w:r>
      <w:r w:rsidRPr="00D44A16">
        <w:rPr>
          <w:rFonts w:ascii="Times New Roman" w:hAnsi="Times New Roman"/>
        </w:rPr>
        <w:t xml:space="preserve">tulevaste perioodide </w:t>
      </w:r>
      <w:r w:rsidR="00451CAA">
        <w:rPr>
          <w:rFonts w:ascii="Times New Roman" w:hAnsi="Times New Roman"/>
        </w:rPr>
        <w:t>investeeringu</w:t>
      </w:r>
      <w:r w:rsidRPr="00D44A16">
        <w:rPr>
          <w:rFonts w:ascii="Times New Roman" w:hAnsi="Times New Roman"/>
        </w:rPr>
        <w:t xml:space="preserve">kulude </w:t>
      </w:r>
      <w:r w:rsidR="00BD6636">
        <w:rPr>
          <w:rFonts w:ascii="Times New Roman" w:hAnsi="Times New Roman"/>
        </w:rPr>
        <w:t xml:space="preserve">ja laenu tagasimaksete </w:t>
      </w:r>
      <w:r w:rsidRPr="00D44A16">
        <w:rPr>
          <w:rFonts w:ascii="Times New Roman" w:hAnsi="Times New Roman"/>
        </w:rPr>
        <w:t>katteks.</w:t>
      </w:r>
    </w:p>
    <w:p w14:paraId="0F690E7D" w14:textId="0D34DE2F" w:rsidR="004451CB" w:rsidRDefault="00684EA0" w:rsidP="00BB4043">
      <w:pPr>
        <w:pStyle w:val="Loendilik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Tööjõukulud</w:t>
      </w:r>
      <w:r w:rsidR="000C4A2F" w:rsidRPr="00D44A16">
        <w:rPr>
          <w:rFonts w:ascii="Times New Roman" w:hAnsi="Times New Roman"/>
        </w:rPr>
        <w:t xml:space="preserve"> tõusi</w:t>
      </w:r>
      <w:r>
        <w:rPr>
          <w:rFonts w:ascii="Times New Roman" w:hAnsi="Times New Roman"/>
        </w:rPr>
        <w:t>d</w:t>
      </w:r>
      <w:r w:rsidR="000C4A2F" w:rsidRPr="00D44A16">
        <w:rPr>
          <w:rFonts w:ascii="Times New Roman" w:hAnsi="Times New Roman"/>
        </w:rPr>
        <w:t xml:space="preserve"> </w:t>
      </w:r>
      <w:r w:rsidR="00D44A16" w:rsidRPr="00D44A16">
        <w:rPr>
          <w:rFonts w:ascii="Times New Roman" w:hAnsi="Times New Roman"/>
        </w:rPr>
        <w:t>201</w:t>
      </w:r>
      <w:r w:rsidR="009679F5">
        <w:rPr>
          <w:rFonts w:ascii="Times New Roman" w:hAnsi="Times New Roman"/>
        </w:rPr>
        <w:t>9</w:t>
      </w:r>
      <w:r w:rsidR="00D44A16" w:rsidRPr="00D44A16">
        <w:rPr>
          <w:rFonts w:ascii="Times New Roman" w:hAnsi="Times New Roman"/>
        </w:rPr>
        <w:t>. aastal võrreldes 201</w:t>
      </w:r>
      <w:r w:rsidR="009679F5">
        <w:rPr>
          <w:rFonts w:ascii="Times New Roman" w:hAnsi="Times New Roman"/>
        </w:rPr>
        <w:t>8</w:t>
      </w:r>
      <w:r w:rsidR="00D44A16" w:rsidRPr="00D44A16">
        <w:rPr>
          <w:rFonts w:ascii="Times New Roman" w:hAnsi="Times New Roman"/>
        </w:rPr>
        <w:t>. aastaga 1</w:t>
      </w:r>
      <w:r>
        <w:rPr>
          <w:rFonts w:ascii="Times New Roman" w:hAnsi="Times New Roman"/>
        </w:rPr>
        <w:t>3,4</w:t>
      </w:r>
      <w:r w:rsidR="00D44A16" w:rsidRPr="00D44A16">
        <w:rPr>
          <w:rFonts w:ascii="Times New Roman" w:hAnsi="Times New Roman"/>
        </w:rPr>
        <w:t xml:space="preserve">%. </w:t>
      </w:r>
      <w:r w:rsidR="00CB4DD7">
        <w:rPr>
          <w:rFonts w:ascii="Times New Roman" w:hAnsi="Times New Roman"/>
        </w:rPr>
        <w:t>Sellele aitas kaasa riigipool</w:t>
      </w:r>
      <w:r w:rsidR="004451CB">
        <w:rPr>
          <w:rFonts w:ascii="Times New Roman" w:hAnsi="Times New Roman"/>
        </w:rPr>
        <w:t>n</w:t>
      </w:r>
      <w:r w:rsidR="00CB4DD7">
        <w:rPr>
          <w:rFonts w:ascii="Times New Roman" w:hAnsi="Times New Roman"/>
        </w:rPr>
        <w:t xml:space="preserve">e </w:t>
      </w:r>
      <w:r w:rsidR="004451CB">
        <w:rPr>
          <w:rFonts w:ascii="Times New Roman" w:hAnsi="Times New Roman"/>
        </w:rPr>
        <w:t xml:space="preserve">kooli- ja lasteaiaõpetajate tööjõukulude </w:t>
      </w:r>
      <w:r w:rsidR="00CB4DD7">
        <w:rPr>
          <w:rFonts w:ascii="Times New Roman" w:hAnsi="Times New Roman"/>
        </w:rPr>
        <w:t xml:space="preserve">toetuse suurenemine. </w:t>
      </w:r>
    </w:p>
    <w:p w14:paraId="4C5D9D9D" w14:textId="403C7B54" w:rsidR="004451CB" w:rsidRDefault="00BD6636" w:rsidP="00BB4043">
      <w:pPr>
        <w:pStyle w:val="Loendilik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Algklassid alustasid septembris õppetööd uues kaasaegses koolimajas, Männi lasteaias alustasid kaks rühma energiasäästlikuks renoveeritud hooneosas</w:t>
      </w:r>
      <w:r w:rsidR="00CB4DD7">
        <w:rPr>
          <w:rFonts w:ascii="Times New Roman" w:hAnsi="Times New Roman"/>
        </w:rPr>
        <w:t xml:space="preserve"> </w:t>
      </w:r>
    </w:p>
    <w:p w14:paraId="3E745F76" w14:textId="45E42AEE" w:rsidR="00BB4043" w:rsidRPr="00D44A16" w:rsidRDefault="00CB4DD7" w:rsidP="00BB4043">
      <w:pPr>
        <w:pStyle w:val="Loendilik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Seoses tulumaksu </w:t>
      </w:r>
      <w:r w:rsidR="00BD6636">
        <w:rPr>
          <w:rFonts w:ascii="Times New Roman" w:hAnsi="Times New Roman"/>
        </w:rPr>
        <w:t xml:space="preserve">ja muude tulude </w:t>
      </w:r>
      <w:r>
        <w:rPr>
          <w:rFonts w:ascii="Times New Roman" w:hAnsi="Times New Roman"/>
        </w:rPr>
        <w:t xml:space="preserve">oodatust suurema laekumisega </w:t>
      </w:r>
      <w:r w:rsidR="00BD6636">
        <w:rPr>
          <w:rFonts w:ascii="Times New Roman" w:hAnsi="Times New Roman"/>
        </w:rPr>
        <w:t xml:space="preserve">ja kulude kokkuhoiuga </w:t>
      </w:r>
      <w:r>
        <w:rPr>
          <w:rFonts w:ascii="Times New Roman" w:hAnsi="Times New Roman"/>
        </w:rPr>
        <w:t xml:space="preserve">suurenes likviidsete varade jääk </w:t>
      </w:r>
      <w:r w:rsidR="00BD6636">
        <w:rPr>
          <w:rFonts w:ascii="Times New Roman" w:hAnsi="Times New Roman"/>
        </w:rPr>
        <w:t>120 tuhande</w:t>
      </w:r>
      <w:r>
        <w:rPr>
          <w:rFonts w:ascii="Times New Roman" w:hAnsi="Times New Roman"/>
        </w:rPr>
        <w:t xml:space="preserve"> euro võrra</w:t>
      </w:r>
      <w:r w:rsidR="00A11767">
        <w:rPr>
          <w:rFonts w:ascii="Times New Roman" w:hAnsi="Times New Roman"/>
        </w:rPr>
        <w:t xml:space="preserve">, ulatudes aasta lõpuks </w:t>
      </w:r>
      <w:r w:rsidR="00BD6636">
        <w:rPr>
          <w:rFonts w:ascii="Times New Roman" w:hAnsi="Times New Roman"/>
        </w:rPr>
        <w:t>1,5 miljoni</w:t>
      </w:r>
      <w:r w:rsidR="00A11767">
        <w:rPr>
          <w:rFonts w:ascii="Times New Roman" w:hAnsi="Times New Roman"/>
        </w:rPr>
        <w:t xml:space="preserve"> euroni</w:t>
      </w:r>
      <w:r>
        <w:rPr>
          <w:rFonts w:ascii="Times New Roman" w:hAnsi="Times New Roman"/>
        </w:rPr>
        <w:t>.</w:t>
      </w:r>
    </w:p>
    <w:p w14:paraId="117EFA07" w14:textId="77777777" w:rsidR="004451CB" w:rsidRPr="00685E8F" w:rsidRDefault="004451CB" w:rsidP="004451CB">
      <w:pPr>
        <w:pStyle w:val="Pealkiri10"/>
        <w:jc w:val="both"/>
        <w:rPr>
          <w:rFonts w:ascii="Times New Roman" w:hAnsi="Times New Roman"/>
        </w:rPr>
      </w:pPr>
      <w:r w:rsidRPr="00685E8F">
        <w:rPr>
          <w:rFonts w:ascii="Times New Roman" w:hAnsi="Times New Roman"/>
        </w:rPr>
        <w:t>Põhitegevuse tulud</w:t>
      </w:r>
      <w:r>
        <w:rPr>
          <w:rStyle w:val="Allmrkuseviide"/>
          <w:rFonts w:ascii="Times New Roman" w:hAnsi="Times New Roman"/>
        </w:rPr>
        <w:footnoteReference w:id="1"/>
      </w:r>
    </w:p>
    <w:p w14:paraId="4F4A8EF2" w14:textId="5213C5F3" w:rsidR="004451CB" w:rsidRPr="00EB14D0" w:rsidRDefault="004451CB" w:rsidP="004451CB">
      <w:pPr>
        <w:jc w:val="both"/>
        <w:rPr>
          <w:rFonts w:ascii="Times New Roman" w:hAnsi="Times New Roman"/>
          <w:b/>
        </w:rPr>
      </w:pPr>
      <w:r w:rsidRPr="00EB14D0">
        <w:rPr>
          <w:rFonts w:ascii="Times New Roman" w:hAnsi="Times New Roman"/>
          <w:b/>
        </w:rPr>
        <w:t>201</w:t>
      </w:r>
      <w:r w:rsidR="009679F5">
        <w:rPr>
          <w:rFonts w:ascii="Times New Roman" w:hAnsi="Times New Roman"/>
          <w:b/>
        </w:rPr>
        <w:t>9</w:t>
      </w:r>
      <w:r w:rsidRPr="00EB14D0">
        <w:rPr>
          <w:rFonts w:ascii="Times New Roman" w:hAnsi="Times New Roman"/>
          <w:b/>
        </w:rPr>
        <w:t>. aasta eelarves o</w:t>
      </w:r>
      <w:r w:rsidR="007D774E" w:rsidRPr="00EB14D0">
        <w:rPr>
          <w:rFonts w:ascii="Times New Roman" w:hAnsi="Times New Roman"/>
          <w:b/>
        </w:rPr>
        <w:t>li</w:t>
      </w:r>
      <w:r w:rsidRPr="00EB14D0">
        <w:rPr>
          <w:rFonts w:ascii="Times New Roman" w:hAnsi="Times New Roman"/>
          <w:b/>
        </w:rPr>
        <w:t xml:space="preserve"> planeeritud tulud</w:t>
      </w:r>
      <w:r w:rsidR="007D774E" w:rsidRPr="00EB14D0">
        <w:rPr>
          <w:rFonts w:ascii="Times New Roman" w:hAnsi="Times New Roman"/>
          <w:b/>
        </w:rPr>
        <w:t>e laekumiseks</w:t>
      </w:r>
      <w:r w:rsidRPr="00EB14D0">
        <w:rPr>
          <w:rFonts w:ascii="Times New Roman" w:hAnsi="Times New Roman"/>
          <w:b/>
        </w:rPr>
        <w:t xml:space="preserve"> </w:t>
      </w:r>
      <w:r w:rsidR="003E280E">
        <w:rPr>
          <w:rFonts w:ascii="Times New Roman" w:hAnsi="Times New Roman"/>
          <w:b/>
        </w:rPr>
        <w:t>11,2</w:t>
      </w:r>
      <w:r w:rsidRPr="00EB14D0">
        <w:rPr>
          <w:rFonts w:ascii="Times New Roman" w:hAnsi="Times New Roman"/>
          <w:b/>
        </w:rPr>
        <w:t xml:space="preserve"> miljonit eurot. </w:t>
      </w:r>
      <w:r w:rsidR="00A11767">
        <w:rPr>
          <w:rFonts w:ascii="Times New Roman" w:hAnsi="Times New Roman"/>
          <w:b/>
        </w:rPr>
        <w:t>Tegelikult laekus tulusid</w:t>
      </w:r>
      <w:r w:rsidR="007D774E" w:rsidRPr="00EB14D0">
        <w:rPr>
          <w:rFonts w:ascii="Times New Roman" w:hAnsi="Times New Roman"/>
          <w:b/>
        </w:rPr>
        <w:t xml:space="preserve"> 1</w:t>
      </w:r>
      <w:r w:rsidR="003E280E">
        <w:rPr>
          <w:rFonts w:ascii="Times New Roman" w:hAnsi="Times New Roman"/>
          <w:b/>
        </w:rPr>
        <w:t>1,7</w:t>
      </w:r>
      <w:r w:rsidR="007D774E" w:rsidRPr="00EB14D0">
        <w:rPr>
          <w:rFonts w:ascii="Times New Roman" w:hAnsi="Times New Roman"/>
          <w:b/>
        </w:rPr>
        <w:t xml:space="preserve"> miljonit eurot, mis on planeeritust </w:t>
      </w:r>
      <w:r w:rsidR="003E280E">
        <w:rPr>
          <w:rFonts w:ascii="Times New Roman" w:hAnsi="Times New Roman"/>
          <w:b/>
        </w:rPr>
        <w:t>4,5</w:t>
      </w:r>
      <w:r w:rsidR="007D774E" w:rsidRPr="00EB14D0">
        <w:rPr>
          <w:rFonts w:ascii="Times New Roman" w:hAnsi="Times New Roman"/>
          <w:b/>
        </w:rPr>
        <w:t xml:space="preserve">% enam. </w:t>
      </w:r>
    </w:p>
    <w:p w14:paraId="7A5AC0CA" w14:textId="13F889F1" w:rsidR="004451CB" w:rsidRPr="00EB14D0" w:rsidRDefault="004451CB" w:rsidP="004451CB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EB14D0">
        <w:rPr>
          <w:rFonts w:ascii="Times New Roman" w:hAnsi="Times New Roman"/>
          <w:color w:val="000000"/>
        </w:rPr>
        <w:t xml:space="preserve">Eelarve tuludest </w:t>
      </w:r>
      <w:r w:rsidR="00DA0A2A" w:rsidRPr="00EB14D0">
        <w:rPr>
          <w:rFonts w:ascii="Times New Roman" w:hAnsi="Times New Roman"/>
          <w:color w:val="000000"/>
        </w:rPr>
        <w:t>6</w:t>
      </w:r>
      <w:r w:rsidR="00B444FE">
        <w:rPr>
          <w:rFonts w:ascii="Times New Roman" w:hAnsi="Times New Roman"/>
          <w:color w:val="000000"/>
        </w:rPr>
        <w:t>1,2</w:t>
      </w:r>
      <w:r w:rsidRPr="00EB14D0">
        <w:rPr>
          <w:rFonts w:ascii="Times New Roman" w:hAnsi="Times New Roman"/>
          <w:color w:val="000000"/>
        </w:rPr>
        <w:t xml:space="preserve">% ehk </w:t>
      </w:r>
      <w:r w:rsidR="00B444FE">
        <w:rPr>
          <w:rFonts w:ascii="Times New Roman" w:hAnsi="Times New Roman"/>
          <w:color w:val="000000"/>
        </w:rPr>
        <w:t>7,2</w:t>
      </w:r>
      <w:r w:rsidRPr="00EB14D0">
        <w:rPr>
          <w:rFonts w:ascii="Times New Roman" w:hAnsi="Times New Roman"/>
          <w:color w:val="000000"/>
        </w:rPr>
        <w:t xml:space="preserve"> miljonit moodusta</w:t>
      </w:r>
      <w:r w:rsidR="007D774E" w:rsidRPr="00EB14D0">
        <w:rPr>
          <w:rFonts w:ascii="Times New Roman" w:hAnsi="Times New Roman"/>
          <w:color w:val="000000"/>
        </w:rPr>
        <w:t>s</w:t>
      </w:r>
      <w:r w:rsidRPr="00EB14D0">
        <w:rPr>
          <w:rFonts w:ascii="Times New Roman" w:hAnsi="Times New Roman"/>
          <w:color w:val="000000"/>
        </w:rPr>
        <w:t xml:space="preserve"> tulumaks (võrreldes </w:t>
      </w:r>
      <w:r w:rsidR="007D774E" w:rsidRPr="00EB14D0">
        <w:rPr>
          <w:rFonts w:ascii="Times New Roman" w:hAnsi="Times New Roman"/>
          <w:color w:val="000000"/>
        </w:rPr>
        <w:t>eelarves kavandatuga</w:t>
      </w:r>
      <w:r w:rsidRPr="00EB14D0">
        <w:rPr>
          <w:rFonts w:ascii="Times New Roman" w:hAnsi="Times New Roman"/>
          <w:color w:val="000000"/>
        </w:rPr>
        <w:t xml:space="preserve"> kasv +</w:t>
      </w:r>
      <w:r w:rsidR="00B444FE">
        <w:rPr>
          <w:rFonts w:ascii="Times New Roman" w:hAnsi="Times New Roman"/>
          <w:color w:val="000000"/>
        </w:rPr>
        <w:t>4,9</w:t>
      </w:r>
      <w:r w:rsidRPr="00EB14D0">
        <w:rPr>
          <w:rFonts w:ascii="Times New Roman" w:hAnsi="Times New Roman"/>
          <w:color w:val="000000"/>
        </w:rPr>
        <w:t>%)</w:t>
      </w:r>
      <w:r w:rsidRPr="00EB14D0">
        <w:rPr>
          <w:rStyle w:val="Allmrkuseviide"/>
          <w:rFonts w:ascii="Times New Roman" w:hAnsi="Times New Roman"/>
          <w:color w:val="000000"/>
        </w:rPr>
        <w:footnoteReference w:id="2"/>
      </w:r>
      <w:r w:rsidR="00305D61" w:rsidRPr="00EB14D0">
        <w:rPr>
          <w:rFonts w:ascii="Times New Roman" w:hAnsi="Times New Roman"/>
          <w:color w:val="000000"/>
        </w:rPr>
        <w:t>.</w:t>
      </w:r>
      <w:r w:rsidR="0049563F" w:rsidRPr="00EB14D0">
        <w:rPr>
          <w:rFonts w:ascii="Times New Roman" w:hAnsi="Times New Roman"/>
          <w:color w:val="000000"/>
        </w:rPr>
        <w:t xml:space="preserve"> </w:t>
      </w:r>
      <w:r w:rsidR="0049563F" w:rsidRPr="00EB14D0">
        <w:rPr>
          <w:rFonts w:ascii="Times New Roman" w:hAnsi="Times New Roman"/>
        </w:rPr>
        <w:t xml:space="preserve">Tulumaksu parem laekumine tulenes </w:t>
      </w:r>
      <w:r w:rsidR="00114B13">
        <w:rPr>
          <w:rFonts w:ascii="Times New Roman" w:hAnsi="Times New Roman"/>
        </w:rPr>
        <w:t xml:space="preserve">peamiselt </w:t>
      </w:r>
      <w:r w:rsidR="0049563F" w:rsidRPr="00EB14D0">
        <w:rPr>
          <w:rFonts w:ascii="Times New Roman" w:hAnsi="Times New Roman"/>
        </w:rPr>
        <w:t xml:space="preserve">valla </w:t>
      </w:r>
      <w:r w:rsidR="00977B0F" w:rsidRPr="00EB14D0">
        <w:rPr>
          <w:rFonts w:ascii="Times New Roman" w:hAnsi="Times New Roman"/>
        </w:rPr>
        <w:t>maksumaksjate</w:t>
      </w:r>
      <w:r w:rsidR="0049563F" w:rsidRPr="00EB14D0">
        <w:rPr>
          <w:rFonts w:ascii="Times New Roman" w:hAnsi="Times New Roman"/>
        </w:rPr>
        <w:t xml:space="preserve"> arvu kasvust ning keskmise palga arvatust suuremas</w:t>
      </w:r>
      <w:r w:rsidR="00977B0F" w:rsidRPr="00EB14D0">
        <w:rPr>
          <w:rFonts w:ascii="Times New Roman" w:hAnsi="Times New Roman"/>
        </w:rPr>
        <w:t>t</w:t>
      </w:r>
      <w:r w:rsidR="0049563F" w:rsidRPr="00EB14D0">
        <w:rPr>
          <w:rFonts w:ascii="Times New Roman" w:hAnsi="Times New Roman"/>
        </w:rPr>
        <w:t xml:space="preserve"> tõusust.</w:t>
      </w:r>
    </w:p>
    <w:p w14:paraId="06A2EE49" w14:textId="6F0370BA" w:rsidR="004451CB" w:rsidRPr="00EB14D0" w:rsidRDefault="004451CB" w:rsidP="006E0BC1">
      <w:pPr>
        <w:pStyle w:val="Loendilik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color w:val="000000"/>
        </w:rPr>
      </w:pPr>
      <w:r w:rsidRPr="00EB14D0">
        <w:rPr>
          <w:rFonts w:ascii="Times New Roman" w:hAnsi="Times New Roman"/>
          <w:color w:val="000000"/>
        </w:rPr>
        <w:t xml:space="preserve">Kaupade ja teenuste müügist </w:t>
      </w:r>
      <w:r w:rsidR="003C7684" w:rsidRPr="00EB14D0">
        <w:rPr>
          <w:rFonts w:ascii="Times New Roman" w:hAnsi="Times New Roman"/>
          <w:color w:val="000000"/>
        </w:rPr>
        <w:t>laekus</w:t>
      </w:r>
      <w:r w:rsidRPr="00EB14D0">
        <w:rPr>
          <w:rFonts w:ascii="Times New Roman" w:hAnsi="Times New Roman"/>
          <w:color w:val="000000"/>
        </w:rPr>
        <w:t xml:space="preserve"> eelarvesse </w:t>
      </w:r>
      <w:r w:rsidR="00C02FB6">
        <w:rPr>
          <w:rFonts w:ascii="Times New Roman" w:hAnsi="Times New Roman"/>
          <w:color w:val="000000"/>
        </w:rPr>
        <w:t>5,7</w:t>
      </w:r>
      <w:r w:rsidRPr="00EB14D0">
        <w:rPr>
          <w:rFonts w:ascii="Times New Roman" w:hAnsi="Times New Roman"/>
          <w:color w:val="000000"/>
        </w:rPr>
        <w:t xml:space="preserve">% ehk </w:t>
      </w:r>
      <w:r w:rsidR="00C02FB6">
        <w:rPr>
          <w:rFonts w:ascii="Times New Roman" w:hAnsi="Times New Roman"/>
          <w:color w:val="000000"/>
        </w:rPr>
        <w:t>0,7</w:t>
      </w:r>
      <w:r w:rsidRPr="00EB14D0">
        <w:rPr>
          <w:rFonts w:ascii="Times New Roman" w:hAnsi="Times New Roman"/>
          <w:color w:val="000000"/>
        </w:rPr>
        <w:t xml:space="preserve"> miljonit eurot (</w:t>
      </w:r>
      <w:r w:rsidR="001A1502">
        <w:rPr>
          <w:rFonts w:ascii="Times New Roman" w:hAnsi="Times New Roman"/>
          <w:color w:val="000000"/>
        </w:rPr>
        <w:t>-</w:t>
      </w:r>
      <w:r w:rsidR="00C02FB6">
        <w:rPr>
          <w:rFonts w:ascii="Times New Roman" w:hAnsi="Times New Roman"/>
          <w:color w:val="000000"/>
        </w:rPr>
        <w:t>0,6</w:t>
      </w:r>
      <w:r w:rsidRPr="00EB14D0">
        <w:rPr>
          <w:rFonts w:ascii="Times New Roman" w:hAnsi="Times New Roman"/>
          <w:color w:val="000000"/>
        </w:rPr>
        <w:t xml:space="preserve">%). </w:t>
      </w:r>
      <w:r w:rsidR="008944EC" w:rsidRPr="00EB14D0">
        <w:rPr>
          <w:rFonts w:ascii="Times New Roman" w:hAnsi="Times New Roman"/>
          <w:color w:val="000000"/>
        </w:rPr>
        <w:t xml:space="preserve">Kavandatust </w:t>
      </w:r>
      <w:r w:rsidR="001A1502">
        <w:rPr>
          <w:rFonts w:ascii="Times New Roman" w:hAnsi="Times New Roman"/>
          <w:color w:val="000000"/>
        </w:rPr>
        <w:t>vähem</w:t>
      </w:r>
      <w:r w:rsidR="008944EC" w:rsidRPr="00EB14D0">
        <w:rPr>
          <w:rFonts w:ascii="Times New Roman" w:hAnsi="Times New Roman"/>
          <w:color w:val="000000"/>
        </w:rPr>
        <w:t xml:space="preserve"> </w:t>
      </w:r>
      <w:r w:rsidR="00C02FB6" w:rsidRPr="00EB14D0">
        <w:rPr>
          <w:rFonts w:ascii="Times New Roman" w:hAnsi="Times New Roman"/>
          <w:color w:val="000000"/>
        </w:rPr>
        <w:t>tulu</w:t>
      </w:r>
      <w:r w:rsidR="00C02FB6" w:rsidRPr="00EB14D0">
        <w:rPr>
          <w:rFonts w:ascii="Times New Roman" w:hAnsi="Times New Roman"/>
          <w:color w:val="000000"/>
        </w:rPr>
        <w:t xml:space="preserve"> </w:t>
      </w:r>
      <w:r w:rsidR="008944EC" w:rsidRPr="00EB14D0">
        <w:rPr>
          <w:rFonts w:ascii="Times New Roman" w:hAnsi="Times New Roman"/>
          <w:color w:val="000000"/>
        </w:rPr>
        <w:t xml:space="preserve">laekus </w:t>
      </w:r>
      <w:r w:rsidR="00C02FB6">
        <w:rPr>
          <w:rFonts w:ascii="Times New Roman" w:hAnsi="Times New Roman"/>
          <w:color w:val="000000"/>
        </w:rPr>
        <w:t>mitteeluruumi rentidest</w:t>
      </w:r>
      <w:r w:rsidR="00577134" w:rsidRPr="00EB14D0">
        <w:rPr>
          <w:rFonts w:ascii="Times New Roman" w:hAnsi="Times New Roman"/>
          <w:color w:val="000000"/>
        </w:rPr>
        <w:t>.</w:t>
      </w:r>
    </w:p>
    <w:p w14:paraId="339C2563" w14:textId="645809CA" w:rsidR="004451CB" w:rsidRPr="00EB14D0" w:rsidRDefault="004451CB" w:rsidP="006E0BC1">
      <w:pPr>
        <w:pStyle w:val="Loendilik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color w:val="000000"/>
        </w:rPr>
      </w:pPr>
      <w:r w:rsidRPr="00EB14D0">
        <w:rPr>
          <w:rFonts w:ascii="Times New Roman" w:hAnsi="Times New Roman"/>
          <w:color w:val="000000"/>
        </w:rPr>
        <w:t>Saadud toetused moodusta</w:t>
      </w:r>
      <w:r w:rsidR="00DA0A2A" w:rsidRPr="00EB14D0">
        <w:rPr>
          <w:rFonts w:ascii="Times New Roman" w:hAnsi="Times New Roman"/>
          <w:color w:val="000000"/>
        </w:rPr>
        <w:t>sid</w:t>
      </w:r>
      <w:r w:rsidRPr="00EB14D0">
        <w:rPr>
          <w:rFonts w:ascii="Times New Roman" w:hAnsi="Times New Roman"/>
          <w:color w:val="000000"/>
        </w:rPr>
        <w:t xml:space="preserve"> eelarve tuludest </w:t>
      </w:r>
      <w:r w:rsidR="006E7338">
        <w:rPr>
          <w:rFonts w:ascii="Times New Roman" w:hAnsi="Times New Roman"/>
          <w:color w:val="000000"/>
        </w:rPr>
        <w:t>29,5</w:t>
      </w:r>
      <w:r w:rsidRPr="00EB14D0">
        <w:rPr>
          <w:rFonts w:ascii="Times New Roman" w:hAnsi="Times New Roman"/>
          <w:color w:val="000000"/>
        </w:rPr>
        <w:t xml:space="preserve">%, ulatudes </w:t>
      </w:r>
      <w:r w:rsidR="00DA0A2A" w:rsidRPr="00EB14D0">
        <w:rPr>
          <w:rFonts w:ascii="Times New Roman" w:hAnsi="Times New Roman"/>
          <w:color w:val="000000"/>
        </w:rPr>
        <w:t>3</w:t>
      </w:r>
      <w:r w:rsidRPr="00EB14D0">
        <w:rPr>
          <w:rFonts w:ascii="Times New Roman" w:hAnsi="Times New Roman"/>
          <w:color w:val="000000"/>
        </w:rPr>
        <w:t>,</w:t>
      </w:r>
      <w:r w:rsidR="006E7338">
        <w:rPr>
          <w:rFonts w:ascii="Times New Roman" w:hAnsi="Times New Roman"/>
          <w:color w:val="000000"/>
        </w:rPr>
        <w:t>5</w:t>
      </w:r>
      <w:r w:rsidRPr="00EB14D0">
        <w:rPr>
          <w:rFonts w:ascii="Times New Roman" w:hAnsi="Times New Roman"/>
          <w:color w:val="000000"/>
        </w:rPr>
        <w:t xml:space="preserve"> miljoni euroni (+</w:t>
      </w:r>
      <w:r w:rsidR="006E7338">
        <w:rPr>
          <w:rFonts w:ascii="Times New Roman" w:hAnsi="Times New Roman"/>
          <w:color w:val="000000"/>
        </w:rPr>
        <w:t>8,9</w:t>
      </w:r>
      <w:r w:rsidRPr="00EB14D0">
        <w:rPr>
          <w:rFonts w:ascii="Times New Roman" w:hAnsi="Times New Roman"/>
          <w:color w:val="000000"/>
        </w:rPr>
        <w:t xml:space="preserve">%). </w:t>
      </w:r>
    </w:p>
    <w:p w14:paraId="085309A8" w14:textId="40D098E0" w:rsidR="004451CB" w:rsidRDefault="004451CB" w:rsidP="006E0BC1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EB14D0">
        <w:rPr>
          <w:rFonts w:ascii="Times New Roman" w:hAnsi="Times New Roman"/>
          <w:color w:val="000000"/>
        </w:rPr>
        <w:t>Muud tulud (maamaks, keskkonnatasud jms) moodusta</w:t>
      </w:r>
      <w:r w:rsidR="0011143F" w:rsidRPr="00EB14D0">
        <w:rPr>
          <w:rFonts w:ascii="Times New Roman" w:hAnsi="Times New Roman"/>
          <w:color w:val="000000"/>
        </w:rPr>
        <w:t>si</w:t>
      </w:r>
      <w:r w:rsidRPr="00EB14D0">
        <w:rPr>
          <w:rFonts w:ascii="Times New Roman" w:hAnsi="Times New Roman"/>
          <w:color w:val="000000"/>
        </w:rPr>
        <w:t xml:space="preserve">d eelarve tuludest </w:t>
      </w:r>
      <w:r w:rsidR="006E7338">
        <w:rPr>
          <w:rFonts w:ascii="Times New Roman" w:hAnsi="Times New Roman"/>
          <w:color w:val="000000"/>
        </w:rPr>
        <w:t>3,6</w:t>
      </w:r>
      <w:r w:rsidRPr="00EB14D0">
        <w:rPr>
          <w:rFonts w:ascii="Times New Roman" w:hAnsi="Times New Roman"/>
          <w:color w:val="000000"/>
        </w:rPr>
        <w:t xml:space="preserve">% ehk </w:t>
      </w:r>
      <w:r w:rsidR="006E7338">
        <w:rPr>
          <w:rFonts w:ascii="Times New Roman" w:hAnsi="Times New Roman"/>
          <w:color w:val="000000"/>
        </w:rPr>
        <w:t>0,3</w:t>
      </w:r>
      <w:r w:rsidRPr="00EB14D0">
        <w:rPr>
          <w:rFonts w:ascii="Times New Roman" w:hAnsi="Times New Roman"/>
          <w:color w:val="000000"/>
        </w:rPr>
        <w:t xml:space="preserve"> miljonit </w:t>
      </w:r>
      <w:r w:rsidR="001A1502">
        <w:rPr>
          <w:rFonts w:ascii="Times New Roman" w:hAnsi="Times New Roman"/>
          <w:color w:val="000000"/>
        </w:rPr>
        <w:t xml:space="preserve">eurot </w:t>
      </w:r>
      <w:r w:rsidR="00986842">
        <w:rPr>
          <w:rFonts w:ascii="Times New Roman" w:hAnsi="Times New Roman"/>
          <w:color w:val="000000"/>
        </w:rPr>
        <w:t>(</w:t>
      </w:r>
      <w:r w:rsidR="006E7338">
        <w:rPr>
          <w:rFonts w:ascii="Times New Roman" w:hAnsi="Times New Roman"/>
          <w:color w:val="000000"/>
        </w:rPr>
        <w:t>+13,2</w:t>
      </w:r>
      <w:r w:rsidRPr="00EB14D0">
        <w:rPr>
          <w:rFonts w:ascii="Times New Roman" w:hAnsi="Times New Roman"/>
          <w:color w:val="000000"/>
        </w:rPr>
        <w:t>%)</w:t>
      </w:r>
      <w:r w:rsidR="008944EC" w:rsidRPr="00EB14D0">
        <w:rPr>
          <w:rFonts w:ascii="Times New Roman" w:hAnsi="Times New Roman"/>
          <w:color w:val="000000"/>
        </w:rPr>
        <w:t xml:space="preserve">. Planeeritust </w:t>
      </w:r>
      <w:r w:rsidR="006E7338">
        <w:rPr>
          <w:rFonts w:ascii="Times New Roman" w:hAnsi="Times New Roman"/>
          <w:color w:val="000000"/>
        </w:rPr>
        <w:t>enam laekus</w:t>
      </w:r>
      <w:r w:rsidR="00114B13">
        <w:rPr>
          <w:rFonts w:ascii="Times New Roman" w:hAnsi="Times New Roman"/>
          <w:color w:val="000000"/>
        </w:rPr>
        <w:t xml:space="preserve"> </w:t>
      </w:r>
      <w:r w:rsidR="006E7338">
        <w:rPr>
          <w:rFonts w:ascii="Times New Roman" w:hAnsi="Times New Roman"/>
          <w:color w:val="000000"/>
        </w:rPr>
        <w:t>kaevandamisõiguse tasu ja muid tulusid, sh puude raieõiguse tasu ja kindlustushüvitused</w:t>
      </w:r>
      <w:r w:rsidR="008944EC" w:rsidRPr="00EB14D0">
        <w:rPr>
          <w:rFonts w:ascii="Times New Roman" w:hAnsi="Times New Roman"/>
          <w:color w:val="000000"/>
        </w:rPr>
        <w:t>.</w:t>
      </w:r>
    </w:p>
    <w:p w14:paraId="74A61877" w14:textId="7F5B6CAD" w:rsidR="00AB1021" w:rsidRPr="00685E8F" w:rsidRDefault="00AB1021" w:rsidP="00325671">
      <w:pPr>
        <w:pStyle w:val="Pealkiri10"/>
        <w:jc w:val="both"/>
        <w:rPr>
          <w:rFonts w:ascii="Times New Roman" w:hAnsi="Times New Roman"/>
        </w:rPr>
      </w:pPr>
      <w:r w:rsidRPr="00685E8F">
        <w:rPr>
          <w:rFonts w:ascii="Times New Roman" w:hAnsi="Times New Roman"/>
        </w:rPr>
        <w:t>Põhitegevuse kulud</w:t>
      </w:r>
      <w:r>
        <w:rPr>
          <w:rStyle w:val="Allmrkuseviide"/>
          <w:rFonts w:ascii="Times New Roman" w:hAnsi="Times New Roman"/>
        </w:rPr>
        <w:footnoteReference w:id="3"/>
      </w:r>
      <w:r w:rsidR="006E7338">
        <w:rPr>
          <w:rFonts w:ascii="Times New Roman" w:hAnsi="Times New Roman"/>
        </w:rPr>
        <w:t xml:space="preserve"> </w:t>
      </w:r>
    </w:p>
    <w:p w14:paraId="23059467" w14:textId="30DD8AB5" w:rsidR="00AB1021" w:rsidRPr="00EB14D0" w:rsidRDefault="00AB1021" w:rsidP="00325671">
      <w:pPr>
        <w:jc w:val="both"/>
        <w:rPr>
          <w:rFonts w:ascii="Times New Roman" w:hAnsi="Times New Roman"/>
          <w:b/>
        </w:rPr>
      </w:pPr>
      <w:r w:rsidRPr="00EB14D0">
        <w:rPr>
          <w:rFonts w:ascii="Times New Roman" w:hAnsi="Times New Roman"/>
          <w:b/>
        </w:rPr>
        <w:t>201</w:t>
      </w:r>
      <w:r w:rsidR="009679F5">
        <w:rPr>
          <w:rFonts w:ascii="Times New Roman" w:hAnsi="Times New Roman"/>
          <w:b/>
        </w:rPr>
        <w:t>9</w:t>
      </w:r>
      <w:r w:rsidRPr="00EB14D0">
        <w:rPr>
          <w:rFonts w:ascii="Times New Roman" w:hAnsi="Times New Roman"/>
          <w:b/>
        </w:rPr>
        <w:t xml:space="preserve">. aasta eelarves oli planeeritud põhitegevuse kuludeks </w:t>
      </w:r>
      <w:r w:rsidR="008E5F3A">
        <w:rPr>
          <w:rFonts w:ascii="Times New Roman" w:hAnsi="Times New Roman"/>
          <w:b/>
        </w:rPr>
        <w:t>10,3</w:t>
      </w:r>
      <w:r w:rsidRPr="00EB14D0">
        <w:rPr>
          <w:rFonts w:ascii="Times New Roman" w:hAnsi="Times New Roman"/>
          <w:b/>
        </w:rPr>
        <w:t xml:space="preserve"> miljonit eurot. Tegelikult tehti kulutusi </w:t>
      </w:r>
      <w:r w:rsidR="008E5F3A">
        <w:rPr>
          <w:rFonts w:ascii="Times New Roman" w:hAnsi="Times New Roman"/>
          <w:b/>
        </w:rPr>
        <w:t>10,3</w:t>
      </w:r>
      <w:r w:rsidRPr="00EB14D0">
        <w:rPr>
          <w:rFonts w:ascii="Times New Roman" w:hAnsi="Times New Roman"/>
          <w:b/>
        </w:rPr>
        <w:t xml:space="preserve"> miljoni euro ulatuses</w:t>
      </w:r>
      <w:r w:rsidR="00977B0F" w:rsidRPr="00EB14D0">
        <w:rPr>
          <w:rFonts w:ascii="Times New Roman" w:hAnsi="Times New Roman"/>
          <w:b/>
        </w:rPr>
        <w:t xml:space="preserve">, </w:t>
      </w:r>
      <w:r w:rsidR="00C25858">
        <w:rPr>
          <w:rFonts w:ascii="Times New Roman" w:hAnsi="Times New Roman"/>
          <w:b/>
        </w:rPr>
        <w:t>eelarvet ületati 36 tuhat eurot (+0,4%)</w:t>
      </w:r>
      <w:r w:rsidRPr="00EB14D0">
        <w:rPr>
          <w:rFonts w:ascii="Times New Roman" w:hAnsi="Times New Roman"/>
          <w:b/>
        </w:rPr>
        <w:t xml:space="preserve">. </w:t>
      </w:r>
    </w:p>
    <w:p w14:paraId="281B00F8" w14:textId="77777777" w:rsidR="00325671" w:rsidRPr="00EB14D0" w:rsidRDefault="00325671" w:rsidP="00325671">
      <w:pPr>
        <w:jc w:val="both"/>
        <w:rPr>
          <w:rFonts w:ascii="Times New Roman" w:hAnsi="Times New Roman"/>
        </w:rPr>
      </w:pPr>
      <w:r w:rsidRPr="00EB14D0">
        <w:rPr>
          <w:rFonts w:ascii="Times New Roman" w:hAnsi="Times New Roman"/>
        </w:rPr>
        <w:t>Põhitegevuse kulud jaotuvad kaheks: antavateks toetusteks ja muudeks tegevuskuludeks. Tegevuskulud omakorda jagunevad tööjõu- ja majandamiskuludeks.</w:t>
      </w:r>
    </w:p>
    <w:p w14:paraId="2F0103DC" w14:textId="154C5758" w:rsidR="00325671" w:rsidRPr="00EB14D0" w:rsidRDefault="006E0BC1" w:rsidP="006E0BC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</w:rPr>
      </w:pPr>
      <w:r w:rsidRPr="00EB14D0">
        <w:rPr>
          <w:rFonts w:ascii="Times New Roman" w:hAnsi="Times New Roman"/>
        </w:rPr>
        <w:t>Põhitegevuse</w:t>
      </w:r>
      <w:r w:rsidR="00325671" w:rsidRPr="00EB14D0">
        <w:rPr>
          <w:rFonts w:ascii="Times New Roman" w:hAnsi="Times New Roman"/>
        </w:rPr>
        <w:t xml:space="preserve"> kuludest </w:t>
      </w:r>
      <w:r w:rsidR="006124D5">
        <w:rPr>
          <w:rFonts w:ascii="Times New Roman" w:hAnsi="Times New Roman"/>
        </w:rPr>
        <w:t>maksti</w:t>
      </w:r>
      <w:r w:rsidR="00325671" w:rsidRPr="00EB14D0">
        <w:rPr>
          <w:rFonts w:ascii="Times New Roman" w:hAnsi="Times New Roman"/>
        </w:rPr>
        <w:t xml:space="preserve"> </w:t>
      </w:r>
      <w:r w:rsidR="006124D5">
        <w:rPr>
          <w:rFonts w:ascii="Times New Roman" w:hAnsi="Times New Roman"/>
        </w:rPr>
        <w:t>8,1</w:t>
      </w:r>
      <w:r w:rsidR="00325671" w:rsidRPr="00EB14D0">
        <w:rPr>
          <w:rFonts w:ascii="Times New Roman" w:hAnsi="Times New Roman"/>
        </w:rPr>
        <w:t>% toetusteks ehk 0,</w:t>
      </w:r>
      <w:r w:rsidR="006124D5">
        <w:rPr>
          <w:rFonts w:ascii="Times New Roman" w:hAnsi="Times New Roman"/>
        </w:rPr>
        <w:t>8</w:t>
      </w:r>
      <w:r w:rsidR="00325671" w:rsidRPr="00EB14D0">
        <w:rPr>
          <w:rFonts w:ascii="Times New Roman" w:hAnsi="Times New Roman"/>
        </w:rPr>
        <w:t xml:space="preserve"> miljonit eurot (võrreldes eelarves kavandatuga kulutati vähem </w:t>
      </w:r>
      <w:r w:rsidR="00A97434" w:rsidRPr="00EB14D0">
        <w:rPr>
          <w:rFonts w:ascii="Times New Roman" w:hAnsi="Times New Roman"/>
        </w:rPr>
        <w:t>-</w:t>
      </w:r>
      <w:r w:rsidR="006124D5">
        <w:rPr>
          <w:rFonts w:ascii="Times New Roman" w:hAnsi="Times New Roman"/>
        </w:rPr>
        <w:t>2,9</w:t>
      </w:r>
      <w:r w:rsidR="00325671" w:rsidRPr="00EB14D0">
        <w:rPr>
          <w:rFonts w:ascii="Times New Roman" w:hAnsi="Times New Roman"/>
        </w:rPr>
        <w:t>%)</w:t>
      </w:r>
      <w:r w:rsidR="00305D61" w:rsidRPr="00EB14D0">
        <w:rPr>
          <w:rFonts w:ascii="Times New Roman" w:hAnsi="Times New Roman"/>
        </w:rPr>
        <w:t>.</w:t>
      </w:r>
      <w:r w:rsidR="0049563F" w:rsidRPr="00EB14D0">
        <w:rPr>
          <w:rFonts w:ascii="Times New Roman" w:hAnsi="Times New Roman"/>
        </w:rPr>
        <w:t xml:space="preserve"> </w:t>
      </w:r>
    </w:p>
    <w:p w14:paraId="54FDD9A0" w14:textId="3DA655C6" w:rsidR="006E0BC1" w:rsidRPr="00EB14D0" w:rsidRDefault="00305D61" w:rsidP="006E0BC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</w:rPr>
      </w:pPr>
      <w:r w:rsidRPr="00EB14D0">
        <w:rPr>
          <w:rFonts w:ascii="Times New Roman" w:hAnsi="Times New Roman"/>
        </w:rPr>
        <w:t xml:space="preserve">Tööjõukulud moodustasid põhitegevuse kuludest </w:t>
      </w:r>
      <w:r w:rsidR="006124D5">
        <w:rPr>
          <w:rFonts w:ascii="Times New Roman" w:hAnsi="Times New Roman"/>
        </w:rPr>
        <w:t>58,2</w:t>
      </w:r>
      <w:r w:rsidRPr="00EB14D0">
        <w:rPr>
          <w:rFonts w:ascii="Times New Roman" w:hAnsi="Times New Roman"/>
        </w:rPr>
        <w:t>%</w:t>
      </w:r>
      <w:r w:rsidR="00AB1021" w:rsidRPr="00EB14D0">
        <w:rPr>
          <w:rFonts w:ascii="Times New Roman" w:hAnsi="Times New Roman"/>
        </w:rPr>
        <w:t xml:space="preserve"> </w:t>
      </w:r>
      <w:r w:rsidR="006E0BC1" w:rsidRPr="00EB14D0">
        <w:rPr>
          <w:rFonts w:ascii="Times New Roman" w:hAnsi="Times New Roman"/>
        </w:rPr>
        <w:t xml:space="preserve">ehk </w:t>
      </w:r>
      <w:r w:rsidR="00163BB4">
        <w:rPr>
          <w:rFonts w:ascii="Times New Roman" w:hAnsi="Times New Roman"/>
        </w:rPr>
        <w:t>6</w:t>
      </w:r>
      <w:r w:rsidR="006E0BC1" w:rsidRPr="00EB14D0">
        <w:rPr>
          <w:rFonts w:ascii="Times New Roman" w:hAnsi="Times New Roman"/>
        </w:rPr>
        <w:t xml:space="preserve"> miljonit eurot</w:t>
      </w:r>
      <w:r w:rsidR="00A97434" w:rsidRPr="00EB14D0">
        <w:rPr>
          <w:rFonts w:ascii="Times New Roman" w:hAnsi="Times New Roman"/>
        </w:rPr>
        <w:t xml:space="preserve"> (-</w:t>
      </w:r>
      <w:r w:rsidR="00163BB4">
        <w:rPr>
          <w:rFonts w:ascii="Times New Roman" w:hAnsi="Times New Roman"/>
        </w:rPr>
        <w:t>0,6</w:t>
      </w:r>
      <w:r w:rsidR="00A97434" w:rsidRPr="00EB14D0">
        <w:rPr>
          <w:rFonts w:ascii="Times New Roman" w:hAnsi="Times New Roman"/>
        </w:rPr>
        <w:t>%)</w:t>
      </w:r>
      <w:r w:rsidR="0049563F" w:rsidRPr="00EB14D0">
        <w:rPr>
          <w:rFonts w:ascii="Times New Roman" w:hAnsi="Times New Roman"/>
        </w:rPr>
        <w:t>.</w:t>
      </w:r>
    </w:p>
    <w:p w14:paraId="7AF5B710" w14:textId="4FF28031" w:rsidR="00A97434" w:rsidRPr="006124D5" w:rsidRDefault="006E0BC1" w:rsidP="00764BF6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/>
          <w:sz w:val="20"/>
          <w:szCs w:val="20"/>
        </w:rPr>
      </w:pPr>
      <w:r w:rsidRPr="006124D5">
        <w:rPr>
          <w:rFonts w:ascii="Times New Roman" w:hAnsi="Times New Roman"/>
        </w:rPr>
        <w:t xml:space="preserve">Majandamiskulud moodustasid kuludest </w:t>
      </w:r>
      <w:r w:rsidR="00163BB4">
        <w:rPr>
          <w:rFonts w:ascii="Times New Roman" w:hAnsi="Times New Roman"/>
        </w:rPr>
        <w:t>33,7</w:t>
      </w:r>
      <w:r w:rsidRPr="006124D5">
        <w:rPr>
          <w:rFonts w:ascii="Times New Roman" w:hAnsi="Times New Roman"/>
        </w:rPr>
        <w:t xml:space="preserve">% ehk </w:t>
      </w:r>
      <w:r w:rsidR="00163BB4">
        <w:rPr>
          <w:rFonts w:ascii="Times New Roman" w:hAnsi="Times New Roman"/>
        </w:rPr>
        <w:t>3,5</w:t>
      </w:r>
      <w:r w:rsidRPr="006124D5">
        <w:rPr>
          <w:rFonts w:ascii="Times New Roman" w:hAnsi="Times New Roman"/>
        </w:rPr>
        <w:t xml:space="preserve"> miljonit eurot.</w:t>
      </w:r>
      <w:r w:rsidR="00A97434" w:rsidRPr="006124D5">
        <w:rPr>
          <w:rFonts w:ascii="Times New Roman" w:hAnsi="Times New Roman"/>
        </w:rPr>
        <w:t>(</w:t>
      </w:r>
      <w:r w:rsidR="00163BB4">
        <w:rPr>
          <w:rFonts w:ascii="Times New Roman" w:hAnsi="Times New Roman"/>
        </w:rPr>
        <w:t>+3,8</w:t>
      </w:r>
      <w:r w:rsidR="00A97434" w:rsidRPr="006124D5">
        <w:rPr>
          <w:rFonts w:ascii="Times New Roman" w:hAnsi="Times New Roman"/>
        </w:rPr>
        <w:t>%)</w:t>
      </w:r>
      <w:r w:rsidR="0049563F" w:rsidRPr="006124D5">
        <w:rPr>
          <w:rFonts w:ascii="Times New Roman" w:hAnsi="Times New Roman"/>
        </w:rPr>
        <w:t>.</w:t>
      </w:r>
      <w:r w:rsidR="00163BB4">
        <w:rPr>
          <w:rFonts w:ascii="Times New Roman" w:hAnsi="Times New Roman"/>
        </w:rPr>
        <w:t xml:space="preserve"> Asutused said täiendavat tulu projektide kirjutamisega</w:t>
      </w:r>
      <w:r w:rsidR="0049563F" w:rsidRPr="006124D5">
        <w:rPr>
          <w:rFonts w:ascii="Times New Roman" w:hAnsi="Times New Roman"/>
        </w:rPr>
        <w:t xml:space="preserve"> </w:t>
      </w:r>
      <w:r w:rsidR="00163BB4">
        <w:rPr>
          <w:rFonts w:ascii="Times New Roman" w:hAnsi="Times New Roman"/>
        </w:rPr>
        <w:t xml:space="preserve">. Laekunud projektitoetusi ei olnud eelarves arvestatud ja </w:t>
      </w:r>
      <w:r w:rsidR="0023145B">
        <w:rPr>
          <w:rFonts w:ascii="Times New Roman" w:hAnsi="Times New Roman"/>
        </w:rPr>
        <w:t>selle summa</w:t>
      </w:r>
      <w:r w:rsidR="00163BB4">
        <w:rPr>
          <w:rFonts w:ascii="Times New Roman" w:hAnsi="Times New Roman"/>
        </w:rPr>
        <w:t xml:space="preserve"> võrra </w:t>
      </w:r>
      <w:r w:rsidR="0023145B">
        <w:rPr>
          <w:rFonts w:ascii="Times New Roman" w:hAnsi="Times New Roman"/>
        </w:rPr>
        <w:t>on</w:t>
      </w:r>
      <w:r w:rsidR="00163BB4">
        <w:rPr>
          <w:rFonts w:ascii="Times New Roman" w:hAnsi="Times New Roman"/>
        </w:rPr>
        <w:t xml:space="preserve"> lubatud ülekulu</w:t>
      </w:r>
    </w:p>
    <w:p w14:paraId="3A20B3D3" w14:textId="77777777" w:rsidR="006124D5" w:rsidRPr="006124D5" w:rsidRDefault="006124D5" w:rsidP="006124D5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14:paraId="3F7CD673" w14:textId="77777777" w:rsidR="003E6B83" w:rsidRPr="009F1BFC" w:rsidRDefault="003E6B83" w:rsidP="003E6B83">
      <w:pPr>
        <w:jc w:val="both"/>
        <w:rPr>
          <w:rFonts w:ascii="Times New Roman" w:hAnsi="Times New Roman"/>
        </w:rPr>
      </w:pPr>
      <w:r w:rsidRPr="009F1BFC">
        <w:rPr>
          <w:rFonts w:ascii="Times New Roman" w:hAnsi="Times New Roman"/>
        </w:rPr>
        <w:lastRenderedPageBreak/>
        <w:t xml:space="preserve">Põhitegevuse kulud jaotuvad </w:t>
      </w:r>
      <w:r w:rsidR="001B280C" w:rsidRPr="009F1BFC">
        <w:rPr>
          <w:rFonts w:ascii="Times New Roman" w:hAnsi="Times New Roman"/>
        </w:rPr>
        <w:t>üheksa</w:t>
      </w:r>
      <w:r w:rsidRPr="009F1BFC">
        <w:rPr>
          <w:rFonts w:ascii="Times New Roman" w:hAnsi="Times New Roman"/>
        </w:rPr>
        <w:t xml:space="preserve"> erineva </w:t>
      </w:r>
      <w:r w:rsidR="001B280C" w:rsidRPr="009F1BFC">
        <w:rPr>
          <w:rFonts w:ascii="Times New Roman" w:hAnsi="Times New Roman"/>
        </w:rPr>
        <w:t>tegevus</w:t>
      </w:r>
      <w:r w:rsidRPr="009F1BFC">
        <w:rPr>
          <w:rFonts w:ascii="Times New Roman" w:hAnsi="Times New Roman"/>
        </w:rPr>
        <w:t>valdkonna vahel.</w:t>
      </w:r>
    </w:p>
    <w:p w14:paraId="333BDA83" w14:textId="20ADF9C5" w:rsidR="00B031BA" w:rsidRPr="00685E8F" w:rsidRDefault="003E6B83" w:rsidP="00B031BA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1B280C">
        <w:rPr>
          <w:rFonts w:ascii="Times New Roman" w:hAnsi="Times New Roman"/>
          <w:b/>
        </w:rPr>
        <w:t>Haridus</w:t>
      </w:r>
      <w:r w:rsidRPr="001B280C">
        <w:rPr>
          <w:rFonts w:ascii="Times New Roman" w:hAnsi="Times New Roman"/>
        </w:rPr>
        <w:t xml:space="preserve"> moodusta</w:t>
      </w:r>
      <w:r w:rsidR="00B031BA">
        <w:rPr>
          <w:rFonts w:ascii="Times New Roman" w:hAnsi="Times New Roman"/>
        </w:rPr>
        <w:t>s</w:t>
      </w:r>
      <w:r w:rsidRPr="001B280C">
        <w:rPr>
          <w:rFonts w:ascii="Times New Roman" w:hAnsi="Times New Roman"/>
        </w:rPr>
        <w:t xml:space="preserve"> põhitegevuse kuludest 6</w:t>
      </w:r>
      <w:r w:rsidR="004F5B35">
        <w:rPr>
          <w:rFonts w:ascii="Times New Roman" w:hAnsi="Times New Roman"/>
        </w:rPr>
        <w:t>6,6</w:t>
      </w:r>
      <w:r w:rsidRPr="001B280C">
        <w:rPr>
          <w:rFonts w:ascii="Times New Roman" w:hAnsi="Times New Roman"/>
        </w:rPr>
        <w:t xml:space="preserve">% ehk </w:t>
      </w:r>
      <w:r w:rsidR="004F5B35">
        <w:rPr>
          <w:rFonts w:ascii="Times New Roman" w:hAnsi="Times New Roman"/>
        </w:rPr>
        <w:t>6,9</w:t>
      </w:r>
      <w:r w:rsidR="001B280C" w:rsidRPr="001B280C">
        <w:rPr>
          <w:rFonts w:ascii="Times New Roman" w:hAnsi="Times New Roman"/>
        </w:rPr>
        <w:t xml:space="preserve"> miljonit</w:t>
      </w:r>
      <w:r w:rsidRPr="001B280C">
        <w:rPr>
          <w:rFonts w:ascii="Times New Roman" w:hAnsi="Times New Roman"/>
        </w:rPr>
        <w:t xml:space="preserve"> </w:t>
      </w:r>
      <w:r w:rsidR="001B280C" w:rsidRPr="001B280C">
        <w:rPr>
          <w:rFonts w:ascii="Times New Roman" w:hAnsi="Times New Roman"/>
        </w:rPr>
        <w:t>eurot</w:t>
      </w:r>
      <w:r w:rsidR="00AA611F">
        <w:rPr>
          <w:rFonts w:ascii="Times New Roman" w:hAnsi="Times New Roman"/>
        </w:rPr>
        <w:t xml:space="preserve">, </w:t>
      </w:r>
      <w:r w:rsidR="00B031BA">
        <w:rPr>
          <w:rFonts w:ascii="Times New Roman" w:hAnsi="Times New Roman"/>
          <w:sz w:val="20"/>
          <w:szCs w:val="20"/>
        </w:rPr>
        <w:t xml:space="preserve">millest kulus personalikuludeks </w:t>
      </w:r>
      <w:r w:rsidR="004F5B35">
        <w:rPr>
          <w:rFonts w:ascii="Times New Roman" w:hAnsi="Times New Roman"/>
          <w:sz w:val="20"/>
          <w:szCs w:val="20"/>
        </w:rPr>
        <w:t>4,7</w:t>
      </w:r>
      <w:r w:rsidR="00B031BA">
        <w:rPr>
          <w:rFonts w:ascii="Times New Roman" w:hAnsi="Times New Roman"/>
          <w:sz w:val="20"/>
          <w:szCs w:val="20"/>
        </w:rPr>
        <w:t xml:space="preserve"> mln eurot ja majanduskuludeks 2 mln eurot;</w:t>
      </w:r>
    </w:p>
    <w:p w14:paraId="39C3F470" w14:textId="43E9721D" w:rsidR="004F5B35" w:rsidRPr="001B280C" w:rsidRDefault="001B280C" w:rsidP="004F5B35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1B280C">
        <w:rPr>
          <w:rFonts w:ascii="Times New Roman" w:hAnsi="Times New Roman"/>
          <w:b/>
        </w:rPr>
        <w:t>Vaba aeg, kultuur ja religioon</w:t>
      </w:r>
      <w:r w:rsidR="004F5B35">
        <w:rPr>
          <w:rFonts w:ascii="Times New Roman" w:hAnsi="Times New Roman"/>
          <w:b/>
        </w:rPr>
        <w:t xml:space="preserve"> </w:t>
      </w:r>
      <w:r w:rsidR="004F5B35" w:rsidRPr="001B280C">
        <w:rPr>
          <w:rFonts w:ascii="Times New Roman" w:hAnsi="Times New Roman"/>
        </w:rPr>
        <w:t>moodusta</w:t>
      </w:r>
      <w:r w:rsidR="004F5B35">
        <w:rPr>
          <w:rFonts w:ascii="Times New Roman" w:hAnsi="Times New Roman"/>
        </w:rPr>
        <w:t>s</w:t>
      </w:r>
      <w:r w:rsidR="004F5B35" w:rsidRPr="001B280C">
        <w:rPr>
          <w:rFonts w:ascii="Times New Roman" w:hAnsi="Times New Roman"/>
          <w:b/>
        </w:rPr>
        <w:t xml:space="preserve"> </w:t>
      </w:r>
      <w:r w:rsidR="004F5B35" w:rsidRPr="001B280C">
        <w:rPr>
          <w:rFonts w:ascii="Times New Roman" w:hAnsi="Times New Roman"/>
        </w:rPr>
        <w:t>1</w:t>
      </w:r>
      <w:r w:rsidR="004F5B35">
        <w:rPr>
          <w:rFonts w:ascii="Times New Roman" w:hAnsi="Times New Roman"/>
        </w:rPr>
        <w:t>0</w:t>
      </w:r>
      <w:r w:rsidR="004F5B35" w:rsidRPr="001B280C">
        <w:rPr>
          <w:rFonts w:ascii="Times New Roman" w:hAnsi="Times New Roman"/>
        </w:rPr>
        <w:t>%</w:t>
      </w:r>
      <w:r w:rsidR="004F5B35">
        <w:rPr>
          <w:rFonts w:ascii="Times New Roman" w:hAnsi="Times New Roman"/>
        </w:rPr>
        <w:t xml:space="preserve"> ehk</w:t>
      </w:r>
      <w:r w:rsidR="004F5B35">
        <w:rPr>
          <w:rFonts w:ascii="Times New Roman" w:hAnsi="Times New Roman"/>
        </w:rPr>
        <w:t xml:space="preserve"> </w:t>
      </w:r>
      <w:r w:rsidR="004F5B35">
        <w:rPr>
          <w:rFonts w:ascii="Times New Roman" w:hAnsi="Times New Roman"/>
        </w:rPr>
        <w:t xml:space="preserve">1 mln eurot. Vaba aja tegevustest moodustasid </w:t>
      </w:r>
      <w:r w:rsidR="004F5B35">
        <w:rPr>
          <w:rFonts w:ascii="Times New Roman" w:hAnsi="Times New Roman"/>
        </w:rPr>
        <w:t>66% asutuste, sh spordikompleks</w:t>
      </w:r>
      <w:r w:rsidR="002E5948">
        <w:rPr>
          <w:rFonts w:ascii="Times New Roman" w:hAnsi="Times New Roman"/>
        </w:rPr>
        <w:t>i</w:t>
      </w:r>
      <w:r w:rsidR="004F5B35">
        <w:rPr>
          <w:rFonts w:ascii="Times New Roman" w:hAnsi="Times New Roman"/>
        </w:rPr>
        <w:t>, noortekeskus</w:t>
      </w:r>
      <w:r w:rsidR="002E5948">
        <w:rPr>
          <w:rFonts w:ascii="Times New Roman" w:hAnsi="Times New Roman"/>
        </w:rPr>
        <w:t>te</w:t>
      </w:r>
      <w:r w:rsidR="004F5B35">
        <w:rPr>
          <w:rFonts w:ascii="Times New Roman" w:hAnsi="Times New Roman"/>
        </w:rPr>
        <w:t>, raamatukogud</w:t>
      </w:r>
      <w:r w:rsidR="002E5948">
        <w:rPr>
          <w:rFonts w:ascii="Times New Roman" w:hAnsi="Times New Roman"/>
        </w:rPr>
        <w:t>e</w:t>
      </w:r>
      <w:r w:rsidR="004F5B35">
        <w:rPr>
          <w:rFonts w:ascii="Times New Roman" w:hAnsi="Times New Roman"/>
        </w:rPr>
        <w:t>, rahvamaja</w:t>
      </w:r>
      <w:r w:rsidR="002E5948">
        <w:rPr>
          <w:rFonts w:ascii="Times New Roman" w:hAnsi="Times New Roman"/>
        </w:rPr>
        <w:t xml:space="preserve"> ja </w:t>
      </w:r>
      <w:r w:rsidR="004F5B35">
        <w:rPr>
          <w:rFonts w:ascii="Times New Roman" w:hAnsi="Times New Roman"/>
        </w:rPr>
        <w:t>muuseum</w:t>
      </w:r>
      <w:r w:rsidR="002E5948">
        <w:rPr>
          <w:rFonts w:ascii="Times New Roman" w:hAnsi="Times New Roman"/>
        </w:rPr>
        <w:t>i</w:t>
      </w:r>
      <w:r w:rsidR="004F5B35">
        <w:rPr>
          <w:rFonts w:ascii="Times New Roman" w:hAnsi="Times New Roman"/>
        </w:rPr>
        <w:t>,</w:t>
      </w:r>
      <w:r w:rsidR="004F5B35">
        <w:rPr>
          <w:rFonts w:ascii="Times New Roman" w:hAnsi="Times New Roman"/>
        </w:rPr>
        <w:t xml:space="preserve"> tegevuskulud;</w:t>
      </w:r>
    </w:p>
    <w:p w14:paraId="1A3A9A2D" w14:textId="649255F0" w:rsidR="001B280C" w:rsidRPr="001B280C" w:rsidRDefault="004F5B35" w:rsidP="003E6B8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Ü</w:t>
      </w:r>
      <w:r w:rsidR="001B280C" w:rsidRPr="001B280C">
        <w:rPr>
          <w:rFonts w:ascii="Times New Roman" w:hAnsi="Times New Roman"/>
          <w:b/>
        </w:rPr>
        <w:t xml:space="preserve">ldised valitsussektori teenused </w:t>
      </w:r>
      <w:r w:rsidR="001B280C" w:rsidRPr="001B280C">
        <w:rPr>
          <w:rFonts w:ascii="Times New Roman" w:hAnsi="Times New Roman"/>
        </w:rPr>
        <w:t>moodusta</w:t>
      </w:r>
      <w:r w:rsidR="00B031BA">
        <w:rPr>
          <w:rFonts w:ascii="Times New Roman" w:hAnsi="Times New Roman"/>
        </w:rPr>
        <w:t>si</w:t>
      </w:r>
      <w:r w:rsidR="001B280C" w:rsidRPr="001B280C">
        <w:rPr>
          <w:rFonts w:ascii="Times New Roman" w:hAnsi="Times New Roman"/>
        </w:rPr>
        <w:t xml:space="preserve">d </w:t>
      </w:r>
      <w:r w:rsidR="00C158EC">
        <w:rPr>
          <w:rFonts w:ascii="Times New Roman" w:hAnsi="Times New Roman"/>
        </w:rPr>
        <w:t>6,</w:t>
      </w:r>
      <w:r w:rsidR="001B280C" w:rsidRPr="001B280C">
        <w:rPr>
          <w:rFonts w:ascii="Times New Roman" w:hAnsi="Times New Roman"/>
        </w:rPr>
        <w:t>1%</w:t>
      </w:r>
      <w:r w:rsidR="00AA611F">
        <w:rPr>
          <w:rFonts w:ascii="Times New Roman" w:hAnsi="Times New Roman"/>
        </w:rPr>
        <w:t xml:space="preserve"> ehk </w:t>
      </w:r>
      <w:r w:rsidR="00C158EC">
        <w:rPr>
          <w:rFonts w:ascii="Times New Roman" w:hAnsi="Times New Roman"/>
        </w:rPr>
        <w:t>0,6</w:t>
      </w:r>
      <w:r w:rsidR="00AA611F">
        <w:rPr>
          <w:rFonts w:ascii="Times New Roman" w:hAnsi="Times New Roman"/>
        </w:rPr>
        <w:t xml:space="preserve"> mln eurot</w:t>
      </w:r>
      <w:r w:rsidR="00B031BA">
        <w:rPr>
          <w:rFonts w:ascii="Times New Roman" w:hAnsi="Times New Roman"/>
        </w:rPr>
        <w:t xml:space="preserve">. </w:t>
      </w:r>
      <w:r w:rsidR="00C158EC">
        <w:rPr>
          <w:rFonts w:ascii="Times New Roman" w:hAnsi="Times New Roman"/>
        </w:rPr>
        <w:t xml:space="preserve">Vallamaja hoone ja personali tööjõukuludeks  kulus </w:t>
      </w:r>
      <w:r w:rsidR="008006B8">
        <w:rPr>
          <w:rFonts w:ascii="Times New Roman" w:hAnsi="Times New Roman"/>
        </w:rPr>
        <w:t>0,7 miljonit eurot.</w:t>
      </w:r>
    </w:p>
    <w:p w14:paraId="553967DE" w14:textId="22898F5E" w:rsidR="001B280C" w:rsidRDefault="001B280C" w:rsidP="003E6B8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Majandus</w:t>
      </w:r>
      <w:r w:rsidR="00AA611F">
        <w:rPr>
          <w:rFonts w:ascii="Times New Roman" w:hAnsi="Times New Roman"/>
          <w:b/>
        </w:rPr>
        <w:t xml:space="preserve"> </w:t>
      </w:r>
      <w:r w:rsidR="00AA611F" w:rsidRPr="00AA611F">
        <w:rPr>
          <w:rFonts w:ascii="Times New Roman" w:hAnsi="Times New Roman"/>
        </w:rPr>
        <w:t>moodusta</w:t>
      </w:r>
      <w:r w:rsidR="009F1BFC">
        <w:rPr>
          <w:rFonts w:ascii="Times New Roman" w:hAnsi="Times New Roman"/>
        </w:rPr>
        <w:t>s</w:t>
      </w:r>
      <w:r w:rsidR="00AA611F" w:rsidRPr="00AA611F">
        <w:rPr>
          <w:rFonts w:ascii="Times New Roman" w:hAnsi="Times New Roman"/>
        </w:rPr>
        <w:t xml:space="preserve"> </w:t>
      </w:r>
      <w:r w:rsidR="008006B8">
        <w:rPr>
          <w:rFonts w:ascii="Times New Roman" w:hAnsi="Times New Roman"/>
        </w:rPr>
        <w:t>3,6</w:t>
      </w:r>
      <w:r w:rsidR="009F1BFC">
        <w:rPr>
          <w:rFonts w:ascii="Times New Roman" w:hAnsi="Times New Roman"/>
        </w:rPr>
        <w:t xml:space="preserve">% ehk </w:t>
      </w:r>
      <w:r w:rsidR="008006B8">
        <w:rPr>
          <w:rFonts w:ascii="Times New Roman" w:hAnsi="Times New Roman"/>
        </w:rPr>
        <w:t>0,4</w:t>
      </w:r>
      <w:r w:rsidR="00AA611F">
        <w:rPr>
          <w:rFonts w:ascii="Times New Roman" w:hAnsi="Times New Roman"/>
        </w:rPr>
        <w:t xml:space="preserve"> mln eurot, millest </w:t>
      </w:r>
      <w:r w:rsidR="00684878">
        <w:rPr>
          <w:rFonts w:ascii="Times New Roman" w:hAnsi="Times New Roman"/>
        </w:rPr>
        <w:t>43</w:t>
      </w:r>
      <w:r w:rsidR="00AA611F">
        <w:rPr>
          <w:rFonts w:ascii="Times New Roman" w:hAnsi="Times New Roman"/>
        </w:rPr>
        <w:t>% ehk 0,</w:t>
      </w:r>
      <w:r w:rsidR="00684878">
        <w:rPr>
          <w:rFonts w:ascii="Times New Roman" w:hAnsi="Times New Roman"/>
        </w:rPr>
        <w:t>2</w:t>
      </w:r>
      <w:r w:rsidR="00AA611F">
        <w:rPr>
          <w:rFonts w:ascii="Times New Roman" w:hAnsi="Times New Roman"/>
        </w:rPr>
        <w:t xml:space="preserve"> miljonit eurot moodustab teede ja tänavate korrashoid;</w:t>
      </w:r>
    </w:p>
    <w:p w14:paraId="1652A058" w14:textId="46AA1FF7" w:rsidR="00AA611F" w:rsidRPr="00AA611F" w:rsidRDefault="00AA611F" w:rsidP="003E6B8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</w:rPr>
      </w:pPr>
      <w:r w:rsidRPr="00EB14D0">
        <w:rPr>
          <w:rFonts w:ascii="Times New Roman" w:hAnsi="Times New Roman"/>
          <w:b/>
        </w:rPr>
        <w:t>Sotsiaalne kaitse</w:t>
      </w:r>
      <w:r w:rsidRPr="00EB14D0">
        <w:rPr>
          <w:rFonts w:ascii="Times New Roman" w:hAnsi="Times New Roman"/>
        </w:rPr>
        <w:t xml:space="preserve"> </w:t>
      </w:r>
      <w:r w:rsidR="009F1BFC" w:rsidRPr="009F1BFC">
        <w:rPr>
          <w:rFonts w:ascii="Times New Roman" w:hAnsi="Times New Roman"/>
          <w:b/>
        </w:rPr>
        <w:t>ja tervishoid</w:t>
      </w:r>
      <w:r w:rsidR="009F1B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moodusta</w:t>
      </w:r>
      <w:r w:rsidR="009F1BF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684878">
        <w:rPr>
          <w:rFonts w:ascii="Times New Roman" w:hAnsi="Times New Roman"/>
        </w:rPr>
        <w:t>8,3</w:t>
      </w:r>
      <w:r>
        <w:rPr>
          <w:rFonts w:ascii="Times New Roman" w:hAnsi="Times New Roman"/>
        </w:rPr>
        <w:t>% ehk 0,</w:t>
      </w:r>
      <w:r w:rsidR="00E12004">
        <w:rPr>
          <w:rFonts w:ascii="Times New Roman" w:hAnsi="Times New Roman"/>
        </w:rPr>
        <w:t>8</w:t>
      </w:r>
      <w:r w:rsidRPr="00EB14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mln eurot</w:t>
      </w:r>
      <w:r w:rsidR="00943879">
        <w:rPr>
          <w:rFonts w:ascii="Times New Roman" w:hAnsi="Times New Roman"/>
        </w:rPr>
        <w:t xml:space="preserve">, millest </w:t>
      </w:r>
      <w:r w:rsidR="00684878">
        <w:rPr>
          <w:rFonts w:ascii="Times New Roman" w:hAnsi="Times New Roman"/>
        </w:rPr>
        <w:t>43%</w:t>
      </w:r>
      <w:r w:rsidR="00A7489C">
        <w:rPr>
          <w:rFonts w:ascii="Times New Roman" w:hAnsi="Times New Roman"/>
        </w:rPr>
        <w:t xml:space="preserve"> </w:t>
      </w:r>
      <w:r w:rsidR="00943879">
        <w:rPr>
          <w:rFonts w:ascii="Times New Roman" w:hAnsi="Times New Roman"/>
        </w:rPr>
        <w:t>kulus erinevate sotsiaaltoetust maksmiseks</w:t>
      </w:r>
      <w:r w:rsidR="00684878">
        <w:rPr>
          <w:rFonts w:ascii="Times New Roman" w:hAnsi="Times New Roman"/>
        </w:rPr>
        <w:t xml:space="preserve"> ja 36% sotsiaalteenuste eest tasumiseks.</w:t>
      </w:r>
      <w:r w:rsidR="00634F99">
        <w:rPr>
          <w:rFonts w:ascii="Times New Roman" w:hAnsi="Times New Roman"/>
        </w:rPr>
        <w:t>;</w:t>
      </w:r>
    </w:p>
    <w:p w14:paraId="7ADE0AA2" w14:textId="541E0003" w:rsidR="003E6B83" w:rsidRPr="009F1BFC" w:rsidRDefault="003E6B83" w:rsidP="003E6B8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1B280C">
        <w:rPr>
          <w:rFonts w:ascii="Times New Roman" w:hAnsi="Times New Roman"/>
          <w:b/>
        </w:rPr>
        <w:t xml:space="preserve">Elamu- ja kommunaalmajandus </w:t>
      </w:r>
      <w:r w:rsidRPr="001B280C">
        <w:rPr>
          <w:rFonts w:ascii="Times New Roman" w:hAnsi="Times New Roman"/>
        </w:rPr>
        <w:t>moodusta</w:t>
      </w:r>
      <w:r w:rsidR="009F1BFC">
        <w:rPr>
          <w:rFonts w:ascii="Times New Roman" w:hAnsi="Times New Roman"/>
        </w:rPr>
        <w:t>s</w:t>
      </w:r>
      <w:r w:rsidRPr="001B280C">
        <w:rPr>
          <w:rFonts w:ascii="Times New Roman" w:hAnsi="Times New Roman"/>
        </w:rPr>
        <w:t xml:space="preserve"> </w:t>
      </w:r>
      <w:r w:rsidR="00E12004">
        <w:rPr>
          <w:rFonts w:ascii="Times New Roman" w:hAnsi="Times New Roman"/>
        </w:rPr>
        <w:t>1,7</w:t>
      </w:r>
      <w:r w:rsidRPr="001B280C">
        <w:rPr>
          <w:rFonts w:ascii="Times New Roman" w:hAnsi="Times New Roman"/>
        </w:rPr>
        <w:t xml:space="preserve">% ehk </w:t>
      </w:r>
      <w:r w:rsidR="00AA611F">
        <w:rPr>
          <w:rFonts w:ascii="Times New Roman" w:hAnsi="Times New Roman"/>
        </w:rPr>
        <w:t>0,</w:t>
      </w:r>
      <w:r w:rsidR="00E12004">
        <w:rPr>
          <w:rFonts w:ascii="Times New Roman" w:hAnsi="Times New Roman"/>
        </w:rPr>
        <w:t>2</w:t>
      </w:r>
      <w:r w:rsidRPr="001B280C">
        <w:rPr>
          <w:rFonts w:ascii="Times New Roman" w:hAnsi="Times New Roman"/>
        </w:rPr>
        <w:t xml:space="preserve"> m</w:t>
      </w:r>
      <w:r w:rsidR="00AA611F">
        <w:rPr>
          <w:rFonts w:ascii="Times New Roman" w:hAnsi="Times New Roman"/>
        </w:rPr>
        <w:t>ln</w:t>
      </w:r>
      <w:r w:rsidR="00634F99">
        <w:rPr>
          <w:rFonts w:ascii="Times New Roman" w:hAnsi="Times New Roman"/>
        </w:rPr>
        <w:t xml:space="preserve"> eurot</w:t>
      </w:r>
      <w:r w:rsidR="009F1BFC">
        <w:rPr>
          <w:rFonts w:ascii="Times New Roman" w:hAnsi="Times New Roman"/>
        </w:rPr>
        <w:t>;</w:t>
      </w:r>
      <w:r w:rsidRPr="001B280C">
        <w:rPr>
          <w:rFonts w:ascii="Times New Roman" w:hAnsi="Times New Roman"/>
        </w:rPr>
        <w:t xml:space="preserve"> </w:t>
      </w:r>
    </w:p>
    <w:p w14:paraId="334AF1AC" w14:textId="0500EF14" w:rsidR="009F1BFC" w:rsidRPr="001B280C" w:rsidRDefault="009F1BFC" w:rsidP="003E6B8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EB14D0">
        <w:rPr>
          <w:rFonts w:ascii="Times New Roman" w:hAnsi="Times New Roman"/>
          <w:b/>
        </w:rPr>
        <w:t>Muud</w:t>
      </w:r>
      <w:r w:rsidRPr="00EB14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(keskkonnakaitse ning avalik kord ja julgeolek) </w:t>
      </w:r>
      <w:r w:rsidR="00634F99">
        <w:rPr>
          <w:rFonts w:ascii="Times New Roman" w:hAnsi="Times New Roman"/>
        </w:rPr>
        <w:t xml:space="preserve">valdkonnad </w:t>
      </w:r>
      <w:r>
        <w:rPr>
          <w:rFonts w:ascii="Times New Roman" w:hAnsi="Times New Roman"/>
        </w:rPr>
        <w:t xml:space="preserve">moodustasid </w:t>
      </w:r>
      <w:r w:rsidR="00E12004">
        <w:rPr>
          <w:rFonts w:ascii="Times New Roman" w:hAnsi="Times New Roman"/>
        </w:rPr>
        <w:t>3,7</w:t>
      </w:r>
      <w:r>
        <w:rPr>
          <w:rFonts w:ascii="Times New Roman" w:hAnsi="Times New Roman"/>
        </w:rPr>
        <w:t>% ehk 0,</w:t>
      </w:r>
      <w:r w:rsidR="00E1200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mln eurot.</w:t>
      </w:r>
    </w:p>
    <w:p w14:paraId="5D262109" w14:textId="77777777" w:rsidR="00584DFF" w:rsidRPr="00685E8F" w:rsidRDefault="00584DFF" w:rsidP="00584DFF">
      <w:pPr>
        <w:pStyle w:val="Joonis"/>
        <w:rPr>
          <w:rFonts w:ascii="Times New Roman" w:hAnsi="Times New Roman"/>
        </w:rPr>
      </w:pPr>
      <w:r w:rsidRPr="00685E8F">
        <w:rPr>
          <w:rFonts w:ascii="Times New Roman" w:hAnsi="Times New Roman"/>
        </w:rPr>
        <w:t xml:space="preserve">Joonis </w:t>
      </w:r>
      <w:r w:rsidR="00EC42E5">
        <w:rPr>
          <w:rFonts w:ascii="Times New Roman" w:hAnsi="Times New Roman"/>
        </w:rPr>
        <w:t>1</w:t>
      </w:r>
      <w:r w:rsidRPr="00685E8F">
        <w:rPr>
          <w:rFonts w:ascii="Times New Roman" w:hAnsi="Times New Roman"/>
        </w:rPr>
        <w:t xml:space="preserve">. Põhitegevuse kulud majandusliku sisu alusel </w:t>
      </w:r>
      <w:proofErr w:type="spellStart"/>
      <w:r w:rsidRPr="00685E8F">
        <w:rPr>
          <w:rFonts w:ascii="Times New Roman" w:hAnsi="Times New Roman"/>
        </w:rPr>
        <w:t>valdkonniti</w:t>
      </w:r>
      <w:proofErr w:type="spellEnd"/>
      <w:r w:rsidRPr="00685E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(201</w:t>
      </w:r>
      <w:r w:rsidR="009679F5">
        <w:rPr>
          <w:rFonts w:ascii="Times New Roman" w:hAnsi="Times New Roman"/>
        </w:rPr>
        <w:t>9</w:t>
      </w:r>
      <w:r>
        <w:rPr>
          <w:rFonts w:ascii="Times New Roman" w:hAnsi="Times New Roman"/>
        </w:rPr>
        <w:t>. a täitmine võrreldes kinnitatud eelarvega;</w:t>
      </w:r>
      <w:r w:rsidRPr="00685E8F">
        <w:rPr>
          <w:rFonts w:ascii="Times New Roman" w:hAnsi="Times New Roman"/>
        </w:rPr>
        <w:t xml:space="preserve"> tuhat eurot)</w:t>
      </w:r>
    </w:p>
    <w:p w14:paraId="1ACE3009" w14:textId="6C7808C7" w:rsidR="00584DFF" w:rsidRPr="00584DFF" w:rsidRDefault="00E95E71" w:rsidP="00584DFF">
      <w:pPr>
        <w:jc w:val="both"/>
        <w:rPr>
          <w:rFonts w:ascii="Times New Roman" w:hAnsi="Times New Roman"/>
          <w:b/>
          <w:bCs/>
          <w:color w:val="5B9BD5"/>
          <w:sz w:val="24"/>
          <w:szCs w:val="24"/>
        </w:rPr>
      </w:pPr>
      <w:r>
        <w:rPr>
          <w:noProof/>
        </w:rPr>
        <w:drawing>
          <wp:inline distT="0" distB="0" distL="0" distR="0" wp14:anchorId="53F59DCC" wp14:editId="12584BBF">
            <wp:extent cx="6505575" cy="4895850"/>
            <wp:effectExtent l="0" t="0" r="9525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ACF923BC-268E-495C-8E4A-AC50BEFB39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1593F8" w14:textId="77777777" w:rsidR="00A11767" w:rsidRDefault="00A11767" w:rsidP="00C01B53">
      <w:pPr>
        <w:jc w:val="both"/>
        <w:rPr>
          <w:rFonts w:ascii="Times New Roman" w:hAnsi="Times New Roman"/>
        </w:rPr>
      </w:pPr>
    </w:p>
    <w:p w14:paraId="1DDA94F8" w14:textId="77777777" w:rsidR="00F158DB" w:rsidRPr="00685E8F" w:rsidRDefault="00F158DB" w:rsidP="00F158DB">
      <w:pPr>
        <w:pStyle w:val="Pealkiri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Investeerimistegevus</w:t>
      </w:r>
    </w:p>
    <w:p w14:paraId="6591BBF1" w14:textId="3735CBE2" w:rsidR="00F158DB" w:rsidRPr="002C78E8" w:rsidRDefault="00F158DB" w:rsidP="00F158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2019</w:t>
      </w:r>
      <w:r w:rsidRPr="00685E8F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/>
          <w:b/>
          <w:sz w:val="20"/>
          <w:szCs w:val="20"/>
        </w:rPr>
        <w:t>aasta eelarves o</w:t>
      </w:r>
      <w:r>
        <w:rPr>
          <w:rFonts w:ascii="Times New Roman" w:hAnsi="Times New Roman"/>
          <w:b/>
          <w:sz w:val="20"/>
          <w:szCs w:val="20"/>
        </w:rPr>
        <w:t>li</w:t>
      </w:r>
      <w:r w:rsidRPr="00685E8F">
        <w:rPr>
          <w:rFonts w:ascii="Times New Roman" w:hAnsi="Times New Roman"/>
          <w:b/>
          <w:sz w:val="20"/>
          <w:szCs w:val="20"/>
        </w:rPr>
        <w:t xml:space="preserve"> planeeritud investeeringu</w:t>
      </w:r>
      <w:r>
        <w:rPr>
          <w:rFonts w:ascii="Times New Roman" w:hAnsi="Times New Roman"/>
          <w:b/>
          <w:sz w:val="20"/>
          <w:szCs w:val="20"/>
        </w:rPr>
        <w:t>teks</w:t>
      </w:r>
      <w:r w:rsidRPr="00685E8F">
        <w:rPr>
          <w:rFonts w:ascii="Times New Roman" w:hAnsi="Times New Roman"/>
          <w:b/>
          <w:sz w:val="20"/>
          <w:szCs w:val="20"/>
        </w:rPr>
        <w:t xml:space="preserve"> </w:t>
      </w:r>
      <w:r w:rsidR="00962FA4">
        <w:rPr>
          <w:rFonts w:ascii="Times New Roman" w:hAnsi="Times New Roman"/>
          <w:b/>
          <w:sz w:val="20"/>
          <w:szCs w:val="20"/>
        </w:rPr>
        <w:t>5,5</w:t>
      </w:r>
      <w:r w:rsidRPr="00685E8F">
        <w:rPr>
          <w:rFonts w:ascii="Times New Roman" w:hAnsi="Times New Roman"/>
          <w:b/>
          <w:sz w:val="20"/>
          <w:szCs w:val="20"/>
        </w:rPr>
        <w:t xml:space="preserve"> miljonit eurot</w:t>
      </w:r>
      <w:r>
        <w:rPr>
          <w:rFonts w:ascii="Times New Roman" w:hAnsi="Times New Roman"/>
          <w:b/>
          <w:sz w:val="20"/>
          <w:szCs w:val="20"/>
        </w:rPr>
        <w:t xml:space="preserve">. Tegelikult teostati investeeringuid </w:t>
      </w:r>
      <w:r w:rsidR="00962FA4">
        <w:rPr>
          <w:rFonts w:ascii="Times New Roman" w:hAnsi="Times New Roman"/>
          <w:b/>
          <w:sz w:val="20"/>
          <w:szCs w:val="20"/>
        </w:rPr>
        <w:t>4,2</w:t>
      </w:r>
      <w:r>
        <w:rPr>
          <w:rFonts w:ascii="Times New Roman" w:hAnsi="Times New Roman"/>
          <w:b/>
          <w:sz w:val="20"/>
          <w:szCs w:val="20"/>
        </w:rPr>
        <w:t xml:space="preserve"> mln euro ulatuses</w:t>
      </w:r>
      <w:r w:rsidR="00C04C33">
        <w:rPr>
          <w:rFonts w:ascii="Times New Roman" w:hAnsi="Times New Roman"/>
          <w:b/>
          <w:sz w:val="20"/>
          <w:szCs w:val="20"/>
        </w:rPr>
        <w:t>.</w:t>
      </w:r>
    </w:p>
    <w:p w14:paraId="22E40231" w14:textId="74E61073" w:rsidR="00F158DB" w:rsidRPr="00B606BC" w:rsidRDefault="00F158DB" w:rsidP="00F158DB">
      <w:pPr>
        <w:jc w:val="both"/>
        <w:rPr>
          <w:rFonts w:ascii="Times New Roman" w:hAnsi="Times New Roman"/>
        </w:rPr>
      </w:pPr>
      <w:r w:rsidRPr="00B606BC">
        <w:rPr>
          <w:rFonts w:ascii="Times New Roman" w:hAnsi="Times New Roman"/>
        </w:rPr>
        <w:t>Investeeringuid finantseerit</w:t>
      </w:r>
      <w:r w:rsidR="002C78E8" w:rsidRPr="00B606BC">
        <w:rPr>
          <w:rFonts w:ascii="Times New Roman" w:hAnsi="Times New Roman"/>
        </w:rPr>
        <w:t>i</w:t>
      </w:r>
      <w:r w:rsidRPr="00B606BC">
        <w:rPr>
          <w:rFonts w:ascii="Times New Roman" w:hAnsi="Times New Roman"/>
        </w:rPr>
        <w:t xml:space="preserve"> jooksva aasta eelarve tuludest </w:t>
      </w:r>
      <w:r w:rsidR="00D45015">
        <w:rPr>
          <w:rFonts w:ascii="Times New Roman" w:hAnsi="Times New Roman"/>
        </w:rPr>
        <w:t>0,9</w:t>
      </w:r>
      <w:r w:rsidR="001A1502">
        <w:rPr>
          <w:rFonts w:ascii="Times New Roman" w:hAnsi="Times New Roman"/>
        </w:rPr>
        <w:t xml:space="preserve"> </w:t>
      </w:r>
      <w:r w:rsidRPr="00B606BC">
        <w:rPr>
          <w:rFonts w:ascii="Times New Roman" w:hAnsi="Times New Roman"/>
        </w:rPr>
        <w:t>miljoni eur</w:t>
      </w:r>
      <w:r w:rsidR="002C78E8" w:rsidRPr="00B606BC">
        <w:rPr>
          <w:rFonts w:ascii="Times New Roman" w:hAnsi="Times New Roman"/>
        </w:rPr>
        <w:t>o ulatuses</w:t>
      </w:r>
      <w:r w:rsidRPr="00B606BC">
        <w:rPr>
          <w:rFonts w:ascii="Times New Roman" w:hAnsi="Times New Roman"/>
        </w:rPr>
        <w:t xml:space="preserve">, </w:t>
      </w:r>
      <w:r w:rsidR="002C78E8" w:rsidRPr="00B606BC">
        <w:rPr>
          <w:rFonts w:ascii="Times New Roman" w:hAnsi="Times New Roman"/>
        </w:rPr>
        <w:t xml:space="preserve">laenu </w:t>
      </w:r>
      <w:r w:rsidRPr="00B606BC">
        <w:rPr>
          <w:rFonts w:ascii="Times New Roman" w:hAnsi="Times New Roman"/>
        </w:rPr>
        <w:t>võet</w:t>
      </w:r>
      <w:r w:rsidR="002C78E8" w:rsidRPr="00B606BC">
        <w:rPr>
          <w:rFonts w:ascii="Times New Roman" w:hAnsi="Times New Roman"/>
        </w:rPr>
        <w:t>i</w:t>
      </w:r>
      <w:r w:rsidRPr="00B606BC">
        <w:rPr>
          <w:rFonts w:ascii="Times New Roman" w:hAnsi="Times New Roman"/>
        </w:rPr>
        <w:t xml:space="preserve"> </w:t>
      </w:r>
      <w:r w:rsidR="00381536">
        <w:rPr>
          <w:rFonts w:ascii="Times New Roman" w:hAnsi="Times New Roman"/>
        </w:rPr>
        <w:t>1,7</w:t>
      </w:r>
      <w:r w:rsidRPr="00B606BC">
        <w:rPr>
          <w:rFonts w:ascii="Times New Roman" w:hAnsi="Times New Roman"/>
        </w:rPr>
        <w:t xml:space="preserve"> miljoni</w:t>
      </w:r>
      <w:r w:rsidR="002C78E8" w:rsidRPr="00B606BC">
        <w:rPr>
          <w:rFonts w:ascii="Times New Roman" w:hAnsi="Times New Roman"/>
        </w:rPr>
        <w:t>t</w:t>
      </w:r>
      <w:r w:rsidRPr="00B606BC">
        <w:rPr>
          <w:rFonts w:ascii="Times New Roman" w:hAnsi="Times New Roman"/>
        </w:rPr>
        <w:t xml:space="preserve"> euro</w:t>
      </w:r>
      <w:r w:rsidR="002C78E8" w:rsidRPr="00B606BC">
        <w:rPr>
          <w:rFonts w:ascii="Times New Roman" w:hAnsi="Times New Roman"/>
        </w:rPr>
        <w:t>t</w:t>
      </w:r>
      <w:r w:rsidRPr="00B606BC">
        <w:rPr>
          <w:rFonts w:ascii="Times New Roman" w:hAnsi="Times New Roman"/>
        </w:rPr>
        <w:t xml:space="preserve"> ja toetust</w:t>
      </w:r>
      <w:r w:rsidR="002C78E8" w:rsidRPr="00B606BC">
        <w:rPr>
          <w:rFonts w:ascii="Times New Roman" w:hAnsi="Times New Roman"/>
        </w:rPr>
        <w:t xml:space="preserve"> saadi</w:t>
      </w:r>
      <w:r w:rsidRPr="00B606BC">
        <w:rPr>
          <w:rFonts w:ascii="Times New Roman" w:hAnsi="Times New Roman"/>
        </w:rPr>
        <w:t xml:space="preserve"> </w:t>
      </w:r>
      <w:r w:rsidR="00D45015">
        <w:rPr>
          <w:rFonts w:ascii="Times New Roman" w:hAnsi="Times New Roman"/>
        </w:rPr>
        <w:t>1,6</w:t>
      </w:r>
      <w:r w:rsidR="002C78E8" w:rsidRPr="00B606BC">
        <w:rPr>
          <w:rFonts w:ascii="Times New Roman" w:hAnsi="Times New Roman"/>
        </w:rPr>
        <w:t xml:space="preserve"> </w:t>
      </w:r>
      <w:r w:rsidR="00C71D7F" w:rsidRPr="00B606BC">
        <w:rPr>
          <w:rFonts w:ascii="Times New Roman" w:hAnsi="Times New Roman"/>
        </w:rPr>
        <w:t>mln</w:t>
      </w:r>
      <w:r w:rsidRPr="00B606BC">
        <w:rPr>
          <w:rFonts w:ascii="Times New Roman" w:hAnsi="Times New Roman"/>
        </w:rPr>
        <w:t xml:space="preserve"> eurot</w:t>
      </w:r>
      <w:r w:rsidR="002C78E8" w:rsidRPr="00B606BC">
        <w:rPr>
          <w:rFonts w:ascii="Times New Roman" w:hAnsi="Times New Roman"/>
        </w:rPr>
        <w:t>.</w:t>
      </w:r>
    </w:p>
    <w:p w14:paraId="2034CC06" w14:textId="395E2F10" w:rsidR="00B606BC" w:rsidRPr="002C78E8" w:rsidRDefault="00AC402C" w:rsidP="00B606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Gümnaasiumi juurde valmis uus algklasside hoone, renoveeriti Männi lasteaia vanim hooneosa, rekonstrueeriti valla tänavavalgustuse taristu, valmis sai esmatasandi tervisekeskuse hoone, renoveeriti teid ja tänavaid, sh </w:t>
      </w:r>
      <w:r w:rsidR="00A7489C">
        <w:rPr>
          <w:rFonts w:ascii="Times New Roman" w:hAnsi="Times New Roman"/>
        </w:rPr>
        <w:t xml:space="preserve">suuremad </w:t>
      </w:r>
      <w:r>
        <w:rPr>
          <w:rFonts w:ascii="Times New Roman" w:hAnsi="Times New Roman"/>
        </w:rPr>
        <w:t xml:space="preserve">Tööstuse tn II etapp, Side tn läbimurre ja Vilivere tee. Härjaoja tee renoveerimiseks valmis projekt, kuid ehitus toimub 2020. a. </w:t>
      </w:r>
      <w:proofErr w:type="spellStart"/>
      <w:r>
        <w:rPr>
          <w:rFonts w:ascii="Times New Roman" w:hAnsi="Times New Roman"/>
        </w:rPr>
        <w:t>Aespa</w:t>
      </w:r>
      <w:proofErr w:type="spellEnd"/>
      <w:r>
        <w:rPr>
          <w:rFonts w:ascii="Times New Roman" w:hAnsi="Times New Roman"/>
        </w:rPr>
        <w:t xml:space="preserve"> lasteaeda hakatakse projekteerima ja alustatakse ehtitust samuti 2020. a </w:t>
      </w:r>
    </w:p>
    <w:p w14:paraId="2483BAD4" w14:textId="098531D6" w:rsidR="00B606BC" w:rsidRDefault="00962FA4" w:rsidP="00F158DB">
      <w:pPr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55D58E52" wp14:editId="58F88143">
            <wp:extent cx="5760720" cy="3495675"/>
            <wp:effectExtent l="0" t="0" r="11430" b="9525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03E1AA91-EFF4-426E-B0F1-7F7860B52D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A316C7" w14:textId="77777777" w:rsidR="002C78E8" w:rsidRPr="00685E8F" w:rsidRDefault="002C78E8" w:rsidP="002C78E8">
      <w:pPr>
        <w:pStyle w:val="Joonis"/>
        <w:rPr>
          <w:rFonts w:ascii="Times New Roman" w:hAnsi="Times New Roman"/>
        </w:rPr>
      </w:pPr>
      <w:r w:rsidRPr="00685E8F">
        <w:rPr>
          <w:rFonts w:ascii="Times New Roman" w:hAnsi="Times New Roman"/>
        </w:rPr>
        <w:t>Joonis 2. Investeeringud valdkondade ja finantseerimisallikate kaupa (tuhat eurot)</w:t>
      </w:r>
    </w:p>
    <w:p w14:paraId="6FB4A605" w14:textId="77777777" w:rsidR="000747ED" w:rsidRPr="00685E8F" w:rsidRDefault="000747ED" w:rsidP="000747ED">
      <w:pPr>
        <w:pStyle w:val="Pealkiri10"/>
        <w:jc w:val="both"/>
        <w:rPr>
          <w:rFonts w:ascii="Times New Roman" w:hAnsi="Times New Roman"/>
        </w:rPr>
      </w:pPr>
      <w:r w:rsidRPr="00685E8F">
        <w:rPr>
          <w:rFonts w:ascii="Times New Roman" w:hAnsi="Times New Roman"/>
        </w:rPr>
        <w:t>Finantsseis</w:t>
      </w:r>
    </w:p>
    <w:p w14:paraId="0052010F" w14:textId="33EA35DB" w:rsidR="000747ED" w:rsidRPr="00667C66" w:rsidRDefault="000747ED" w:rsidP="000747ED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b/>
          <w:color w:val="5B9BD5"/>
        </w:rPr>
      </w:pPr>
      <w:proofErr w:type="spellStart"/>
      <w:r w:rsidRPr="00667C66">
        <w:rPr>
          <w:rFonts w:ascii="Times New Roman" w:hAnsi="Times New Roman"/>
          <w:b/>
        </w:rPr>
        <w:t>omafinantseerimisvõime</w:t>
      </w:r>
      <w:proofErr w:type="spellEnd"/>
      <w:r w:rsidRPr="00667C66">
        <w:rPr>
          <w:rFonts w:ascii="Times New Roman" w:hAnsi="Times New Roman"/>
          <w:b/>
        </w:rPr>
        <w:t xml:space="preserve"> </w:t>
      </w:r>
      <w:r w:rsidRPr="00667C66">
        <w:rPr>
          <w:rFonts w:ascii="Times New Roman" w:hAnsi="Times New Roman"/>
        </w:rPr>
        <w:t>ehk põhitegevuse tulude ja põhitegevuse kulude vahe o</w:t>
      </w:r>
      <w:r w:rsidR="00C71D7F" w:rsidRPr="00667C66">
        <w:rPr>
          <w:rFonts w:ascii="Times New Roman" w:hAnsi="Times New Roman"/>
        </w:rPr>
        <w:t>li</w:t>
      </w:r>
      <w:r w:rsidRPr="00667C66">
        <w:rPr>
          <w:rFonts w:ascii="Times New Roman" w:hAnsi="Times New Roman"/>
        </w:rPr>
        <w:t xml:space="preserve"> </w:t>
      </w:r>
      <w:r w:rsidR="0041777B">
        <w:rPr>
          <w:rFonts w:ascii="Times New Roman" w:hAnsi="Times New Roman"/>
        </w:rPr>
        <w:t>1,4</w:t>
      </w:r>
      <w:r w:rsidRPr="00667C66">
        <w:rPr>
          <w:rFonts w:ascii="Times New Roman" w:hAnsi="Times New Roman"/>
        </w:rPr>
        <w:t xml:space="preserve"> miljonit eurot, millest tasut</w:t>
      </w:r>
      <w:r w:rsidR="00C71D7F" w:rsidRPr="00667C66">
        <w:rPr>
          <w:rFonts w:ascii="Times New Roman" w:hAnsi="Times New Roman"/>
        </w:rPr>
        <w:t>i</w:t>
      </w:r>
      <w:r w:rsidRPr="00667C66">
        <w:rPr>
          <w:rFonts w:ascii="Times New Roman" w:hAnsi="Times New Roman"/>
        </w:rPr>
        <w:t xml:space="preserve"> nii olemasolevaid laenumakseid </w:t>
      </w:r>
      <w:r w:rsidRPr="00667C66">
        <w:rPr>
          <w:rFonts w:ascii="Times New Roman" w:hAnsi="Times New Roman"/>
          <w:i/>
        </w:rPr>
        <w:t xml:space="preserve">(jooksva aasta laenumaksete põhiosa </w:t>
      </w:r>
      <w:r w:rsidR="00381536" w:rsidRPr="00667C66">
        <w:rPr>
          <w:rFonts w:ascii="Times New Roman" w:hAnsi="Times New Roman"/>
          <w:i/>
        </w:rPr>
        <w:t>0,</w:t>
      </w:r>
      <w:r w:rsidR="0041777B">
        <w:rPr>
          <w:rFonts w:ascii="Times New Roman" w:hAnsi="Times New Roman"/>
          <w:i/>
        </w:rPr>
        <w:t>6</w:t>
      </w:r>
      <w:r w:rsidR="00C71D7F" w:rsidRPr="00667C66">
        <w:rPr>
          <w:rFonts w:ascii="Times New Roman" w:hAnsi="Times New Roman"/>
          <w:i/>
        </w:rPr>
        <w:t xml:space="preserve"> miljon</w:t>
      </w:r>
      <w:r w:rsidRPr="00667C66">
        <w:rPr>
          <w:rFonts w:ascii="Times New Roman" w:hAnsi="Times New Roman"/>
          <w:i/>
        </w:rPr>
        <w:t xml:space="preserve"> eurot ehk </w:t>
      </w:r>
      <w:r w:rsidR="00381536" w:rsidRPr="00667C66">
        <w:rPr>
          <w:rFonts w:ascii="Times New Roman" w:hAnsi="Times New Roman"/>
          <w:i/>
        </w:rPr>
        <w:t>4</w:t>
      </w:r>
      <w:r w:rsidR="0041777B">
        <w:rPr>
          <w:rFonts w:ascii="Times New Roman" w:hAnsi="Times New Roman"/>
          <w:i/>
        </w:rPr>
        <w:t>2,6</w:t>
      </w:r>
      <w:r w:rsidRPr="00667C66">
        <w:rPr>
          <w:rFonts w:ascii="Times New Roman" w:hAnsi="Times New Roman"/>
          <w:i/>
        </w:rPr>
        <w:t>% põhitegevuse tulemist)</w:t>
      </w:r>
      <w:r w:rsidRPr="00667C66">
        <w:rPr>
          <w:rFonts w:ascii="Times New Roman" w:hAnsi="Times New Roman"/>
        </w:rPr>
        <w:t xml:space="preserve">, intressikulusid kui </w:t>
      </w:r>
      <w:r w:rsidR="0041777B">
        <w:rPr>
          <w:rFonts w:ascii="Times New Roman" w:hAnsi="Times New Roman"/>
        </w:rPr>
        <w:t xml:space="preserve">ka </w:t>
      </w:r>
      <w:r w:rsidRPr="00667C66">
        <w:rPr>
          <w:rFonts w:ascii="Times New Roman" w:hAnsi="Times New Roman"/>
        </w:rPr>
        <w:t>rahastat</w:t>
      </w:r>
      <w:r w:rsidR="00C71D7F" w:rsidRPr="00667C66">
        <w:rPr>
          <w:rFonts w:ascii="Times New Roman" w:hAnsi="Times New Roman"/>
        </w:rPr>
        <w:t>i</w:t>
      </w:r>
      <w:r w:rsidRPr="00667C66">
        <w:rPr>
          <w:rFonts w:ascii="Times New Roman" w:hAnsi="Times New Roman"/>
        </w:rPr>
        <w:t xml:space="preserve"> investeeringuid. Eesmärk on seda taset hoida ka järgnevatel aastatel, et säilitada investeerimisvõimekus. </w:t>
      </w:r>
    </w:p>
    <w:p w14:paraId="64FF5E02" w14:textId="59C07A58" w:rsidR="000747ED" w:rsidRPr="00667C66" w:rsidRDefault="000747ED" w:rsidP="000747ED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b/>
          <w:color w:val="5B9BD5"/>
        </w:rPr>
      </w:pPr>
      <w:r w:rsidRPr="00667C66">
        <w:rPr>
          <w:rFonts w:ascii="Times New Roman" w:hAnsi="Times New Roman"/>
          <w:b/>
        </w:rPr>
        <w:t xml:space="preserve">netovõlakoormus </w:t>
      </w:r>
      <w:r w:rsidRPr="00667C66">
        <w:rPr>
          <w:rFonts w:ascii="Times New Roman" w:hAnsi="Times New Roman"/>
        </w:rPr>
        <w:t xml:space="preserve">(kohustused miinus likviidsed varad) </w:t>
      </w:r>
      <w:r w:rsidR="00C71D7F" w:rsidRPr="00667C66">
        <w:rPr>
          <w:rFonts w:ascii="Times New Roman" w:hAnsi="Times New Roman"/>
        </w:rPr>
        <w:t>oli</w:t>
      </w:r>
      <w:r w:rsidRPr="00667C66">
        <w:rPr>
          <w:rFonts w:ascii="Times New Roman" w:hAnsi="Times New Roman"/>
        </w:rPr>
        <w:t xml:space="preserve"> 201</w:t>
      </w:r>
      <w:r w:rsidR="00C71D7F" w:rsidRPr="00667C66">
        <w:rPr>
          <w:rFonts w:ascii="Times New Roman" w:hAnsi="Times New Roman"/>
        </w:rPr>
        <w:t>9</w:t>
      </w:r>
      <w:r w:rsidRPr="00667C66">
        <w:rPr>
          <w:rFonts w:ascii="Times New Roman" w:hAnsi="Times New Roman"/>
        </w:rPr>
        <w:t xml:space="preserve">. aasta lõpuks </w:t>
      </w:r>
      <w:r w:rsidR="0041777B">
        <w:rPr>
          <w:rFonts w:ascii="Times New Roman" w:hAnsi="Times New Roman"/>
        </w:rPr>
        <w:t>43,4</w:t>
      </w:r>
      <w:r w:rsidRPr="00667C66">
        <w:rPr>
          <w:rFonts w:ascii="Times New Roman" w:hAnsi="Times New Roman"/>
        </w:rPr>
        <w:t xml:space="preserve">% põhitegevuse tuludest ehk </w:t>
      </w:r>
      <w:r w:rsidR="0041777B">
        <w:rPr>
          <w:rFonts w:ascii="Times New Roman" w:hAnsi="Times New Roman"/>
        </w:rPr>
        <w:t>5,1</w:t>
      </w:r>
      <w:r w:rsidRPr="00667C66">
        <w:rPr>
          <w:rFonts w:ascii="Times New Roman" w:hAnsi="Times New Roman"/>
        </w:rPr>
        <w:t xml:space="preserve"> miljoni</w:t>
      </w:r>
      <w:r w:rsidR="00F447BD" w:rsidRPr="00667C66">
        <w:rPr>
          <w:rFonts w:ascii="Times New Roman" w:hAnsi="Times New Roman"/>
        </w:rPr>
        <w:t>t</w:t>
      </w:r>
      <w:r w:rsidRPr="00667C66">
        <w:rPr>
          <w:rFonts w:ascii="Times New Roman" w:hAnsi="Times New Roman"/>
        </w:rPr>
        <w:t xml:space="preserve"> euro</w:t>
      </w:r>
      <w:r w:rsidR="00F447BD" w:rsidRPr="00667C66">
        <w:rPr>
          <w:rFonts w:ascii="Times New Roman" w:hAnsi="Times New Roman"/>
        </w:rPr>
        <w:t>t</w:t>
      </w:r>
      <w:r w:rsidRPr="00667C66">
        <w:rPr>
          <w:rFonts w:ascii="Times New Roman" w:hAnsi="Times New Roman"/>
        </w:rPr>
        <w:t xml:space="preserve">. </w:t>
      </w:r>
      <w:r w:rsidR="003F0A0B">
        <w:rPr>
          <w:rFonts w:ascii="Times New Roman" w:hAnsi="Times New Roman"/>
        </w:rPr>
        <w:t>Arengukavas</w:t>
      </w:r>
      <w:r w:rsidRPr="00667C66">
        <w:rPr>
          <w:rFonts w:ascii="Times New Roman" w:hAnsi="Times New Roman"/>
        </w:rPr>
        <w:t xml:space="preserve"> on </w:t>
      </w:r>
      <w:r w:rsidR="003F0A0B">
        <w:rPr>
          <w:rFonts w:ascii="Times New Roman" w:hAnsi="Times New Roman"/>
        </w:rPr>
        <w:t xml:space="preserve">kehtestatud </w:t>
      </w:r>
      <w:r w:rsidRPr="00667C66">
        <w:rPr>
          <w:rFonts w:ascii="Times New Roman" w:hAnsi="Times New Roman"/>
        </w:rPr>
        <w:t xml:space="preserve">valla ülempiiriks </w:t>
      </w:r>
      <w:r w:rsidR="003F0A0B">
        <w:rPr>
          <w:rFonts w:ascii="Times New Roman" w:hAnsi="Times New Roman"/>
        </w:rPr>
        <w:t>60</w:t>
      </w:r>
      <w:r w:rsidRPr="00667C66">
        <w:rPr>
          <w:rFonts w:ascii="Times New Roman" w:hAnsi="Times New Roman"/>
        </w:rPr>
        <w:t>%</w:t>
      </w:r>
      <w:r w:rsidR="003F0A0B">
        <w:rPr>
          <w:rFonts w:ascii="Times New Roman" w:hAnsi="Times New Roman"/>
        </w:rPr>
        <w:t>.</w:t>
      </w:r>
      <w:r w:rsidRPr="00667C66">
        <w:rPr>
          <w:rFonts w:ascii="Times New Roman" w:hAnsi="Times New Roman"/>
          <w:b/>
          <w:color w:val="5B9BD5"/>
        </w:rPr>
        <w:t xml:space="preserve"> </w:t>
      </w:r>
    </w:p>
    <w:p w14:paraId="33C67075" w14:textId="4822603A" w:rsidR="000747ED" w:rsidRPr="00667C66" w:rsidRDefault="000747ED" w:rsidP="000747ED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color w:val="5B9BD5"/>
        </w:rPr>
      </w:pPr>
      <w:r w:rsidRPr="00667C66">
        <w:rPr>
          <w:rFonts w:ascii="Times New Roman" w:hAnsi="Times New Roman"/>
          <w:b/>
        </w:rPr>
        <w:t xml:space="preserve">likviidsete varade maht </w:t>
      </w:r>
      <w:r w:rsidR="00C71D7F" w:rsidRPr="00667C66">
        <w:rPr>
          <w:rFonts w:ascii="Times New Roman" w:hAnsi="Times New Roman"/>
        </w:rPr>
        <w:t>oli</w:t>
      </w:r>
      <w:r w:rsidRPr="00667C66">
        <w:rPr>
          <w:rFonts w:ascii="Times New Roman" w:hAnsi="Times New Roman"/>
        </w:rPr>
        <w:t xml:space="preserve"> 201</w:t>
      </w:r>
      <w:r w:rsidR="00C71D7F" w:rsidRPr="00667C66">
        <w:rPr>
          <w:rFonts w:ascii="Times New Roman" w:hAnsi="Times New Roman"/>
        </w:rPr>
        <w:t>9</w:t>
      </w:r>
      <w:r w:rsidRPr="00667C66">
        <w:rPr>
          <w:rFonts w:ascii="Times New Roman" w:hAnsi="Times New Roman"/>
        </w:rPr>
        <w:t>. aasta</w:t>
      </w:r>
      <w:r w:rsidR="00C71D7F" w:rsidRPr="00667C66">
        <w:rPr>
          <w:rFonts w:ascii="Times New Roman" w:hAnsi="Times New Roman"/>
        </w:rPr>
        <w:t xml:space="preserve"> lõpu seisuga</w:t>
      </w:r>
      <w:r w:rsidRPr="00667C66">
        <w:rPr>
          <w:rFonts w:ascii="Times New Roman" w:hAnsi="Times New Roman"/>
        </w:rPr>
        <w:t xml:space="preserve"> ,</w:t>
      </w:r>
      <w:r w:rsidR="00D12866" w:rsidRPr="00667C66">
        <w:rPr>
          <w:rFonts w:ascii="Times New Roman" w:hAnsi="Times New Roman"/>
        </w:rPr>
        <w:t>5</w:t>
      </w:r>
      <w:r w:rsidRPr="00667C66">
        <w:rPr>
          <w:rFonts w:ascii="Times New Roman" w:hAnsi="Times New Roman"/>
        </w:rPr>
        <w:t xml:space="preserve"> miljoni</w:t>
      </w:r>
      <w:r w:rsidR="00F447BD" w:rsidRPr="00667C66">
        <w:rPr>
          <w:rFonts w:ascii="Times New Roman" w:hAnsi="Times New Roman"/>
        </w:rPr>
        <w:t>t</w:t>
      </w:r>
      <w:r w:rsidRPr="00667C66">
        <w:rPr>
          <w:rFonts w:ascii="Times New Roman" w:hAnsi="Times New Roman"/>
        </w:rPr>
        <w:t xml:space="preserve"> euro</w:t>
      </w:r>
      <w:r w:rsidR="00F447BD" w:rsidRPr="00667C66">
        <w:rPr>
          <w:rFonts w:ascii="Times New Roman" w:hAnsi="Times New Roman"/>
        </w:rPr>
        <w:t>t</w:t>
      </w:r>
      <w:r w:rsidRPr="00667C66">
        <w:rPr>
          <w:rFonts w:ascii="Times New Roman" w:hAnsi="Times New Roman"/>
        </w:rPr>
        <w:t xml:space="preserve"> ehk </w:t>
      </w:r>
      <w:r w:rsidR="00D12866" w:rsidRPr="00667C66">
        <w:rPr>
          <w:rFonts w:ascii="Times New Roman" w:hAnsi="Times New Roman"/>
        </w:rPr>
        <w:t>3,3</w:t>
      </w:r>
      <w:r w:rsidRPr="00667C66">
        <w:rPr>
          <w:rFonts w:ascii="Times New Roman" w:hAnsi="Times New Roman"/>
        </w:rPr>
        <w:t xml:space="preserve">% põhitegevuse tuludest. Eesmärk on seda taset hoida, et tagada valla maksevõime. </w:t>
      </w:r>
      <w:bookmarkStart w:id="0" w:name="_GoBack"/>
      <w:bookmarkEnd w:id="0"/>
    </w:p>
    <w:sectPr w:rsidR="000747ED" w:rsidRPr="0066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09A6" w14:textId="77777777" w:rsidR="00397BDE" w:rsidRDefault="00397BDE" w:rsidP="004451CB">
      <w:pPr>
        <w:spacing w:after="0" w:line="240" w:lineRule="auto"/>
      </w:pPr>
      <w:r>
        <w:separator/>
      </w:r>
    </w:p>
  </w:endnote>
  <w:endnote w:type="continuationSeparator" w:id="0">
    <w:p w14:paraId="7011F6FD" w14:textId="77777777" w:rsidR="00397BDE" w:rsidRDefault="00397BDE" w:rsidP="0044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0A47" w14:textId="77777777" w:rsidR="00397BDE" w:rsidRDefault="00397BDE" w:rsidP="004451CB">
      <w:pPr>
        <w:spacing w:after="0" w:line="240" w:lineRule="auto"/>
      </w:pPr>
      <w:r>
        <w:separator/>
      </w:r>
    </w:p>
  </w:footnote>
  <w:footnote w:type="continuationSeparator" w:id="0">
    <w:p w14:paraId="0E39EB97" w14:textId="77777777" w:rsidR="00397BDE" w:rsidRDefault="00397BDE" w:rsidP="004451CB">
      <w:pPr>
        <w:spacing w:after="0" w:line="240" w:lineRule="auto"/>
      </w:pPr>
      <w:r>
        <w:continuationSeparator/>
      </w:r>
    </w:p>
  </w:footnote>
  <w:footnote w:id="1">
    <w:p w14:paraId="11D68715" w14:textId="77777777" w:rsidR="004451CB" w:rsidRDefault="004451CB" w:rsidP="004451CB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m</w:t>
      </w:r>
      <w:r w:rsidRPr="006A22B7">
        <w:rPr>
          <w:rFonts w:ascii="Times New Roman" w:hAnsi="Times New Roman"/>
          <w:sz w:val="16"/>
          <w:szCs w:val="16"/>
        </w:rPr>
        <w:t>aksutulud, tulud kaupade ja teenuste müügist, saadavad toetused, muud tegevustulud</w:t>
      </w:r>
    </w:p>
  </w:footnote>
  <w:footnote w:id="2">
    <w:p w14:paraId="6E08E946" w14:textId="77777777" w:rsidR="004451CB" w:rsidRDefault="004451CB" w:rsidP="004451CB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 w:rsidRPr="006C3C99"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llist tähistust, võrdlemaks 201</w:t>
      </w:r>
      <w:r w:rsidR="002A4F6C">
        <w:rPr>
          <w:rFonts w:ascii="Times New Roman" w:hAnsi="Times New Roman"/>
          <w:sz w:val="16"/>
          <w:szCs w:val="16"/>
        </w:rPr>
        <w:t>9</w:t>
      </w:r>
      <w:r w:rsidRPr="006C3C99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aasta </w:t>
      </w:r>
      <w:r w:rsidR="00892D25">
        <w:rPr>
          <w:rFonts w:ascii="Times New Roman" w:hAnsi="Times New Roman"/>
          <w:sz w:val="16"/>
          <w:szCs w:val="16"/>
        </w:rPr>
        <w:t>eelarve täitmist kinnitatud eelarvega</w:t>
      </w:r>
      <w:r w:rsidRPr="006C3C99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kasutatakse dokumendis läbivalt</w:t>
      </w:r>
    </w:p>
  </w:footnote>
  <w:footnote w:id="3">
    <w:p w14:paraId="66EA088E" w14:textId="77777777" w:rsidR="00AB1021" w:rsidRDefault="00AB1021" w:rsidP="00AB1021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A22B7">
        <w:rPr>
          <w:rFonts w:ascii="Times New Roman" w:hAnsi="Times New Roman"/>
          <w:sz w:val="16"/>
          <w:szCs w:val="16"/>
        </w:rPr>
        <w:t>antavad toetused, muud tegevuskulud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D3"/>
    <w:rsid w:val="00002747"/>
    <w:rsid w:val="000747ED"/>
    <w:rsid w:val="000C4A2F"/>
    <w:rsid w:val="0011143F"/>
    <w:rsid w:val="00114B13"/>
    <w:rsid w:val="00163BB4"/>
    <w:rsid w:val="00171B61"/>
    <w:rsid w:val="00196D33"/>
    <w:rsid w:val="001A1502"/>
    <w:rsid w:val="001B280C"/>
    <w:rsid w:val="001E159F"/>
    <w:rsid w:val="0023145B"/>
    <w:rsid w:val="002317B4"/>
    <w:rsid w:val="002A4F6C"/>
    <w:rsid w:val="002B7159"/>
    <w:rsid w:val="002C78E8"/>
    <w:rsid w:val="002E5948"/>
    <w:rsid w:val="00305D61"/>
    <w:rsid w:val="00325671"/>
    <w:rsid w:val="0032700D"/>
    <w:rsid w:val="00381536"/>
    <w:rsid w:val="00391D78"/>
    <w:rsid w:val="00397BDE"/>
    <w:rsid w:val="003C0969"/>
    <w:rsid w:val="003C7684"/>
    <w:rsid w:val="003E280E"/>
    <w:rsid w:val="003E6B83"/>
    <w:rsid w:val="003F0659"/>
    <w:rsid w:val="003F0A0B"/>
    <w:rsid w:val="0041777B"/>
    <w:rsid w:val="004451CB"/>
    <w:rsid w:val="00451CAA"/>
    <w:rsid w:val="0049563F"/>
    <w:rsid w:val="004F5B35"/>
    <w:rsid w:val="005402AD"/>
    <w:rsid w:val="00545907"/>
    <w:rsid w:val="005721A0"/>
    <w:rsid w:val="005745C2"/>
    <w:rsid w:val="00577134"/>
    <w:rsid w:val="00584DFF"/>
    <w:rsid w:val="005B6264"/>
    <w:rsid w:val="005C6B2C"/>
    <w:rsid w:val="006124D5"/>
    <w:rsid w:val="00634F99"/>
    <w:rsid w:val="00667C66"/>
    <w:rsid w:val="00684878"/>
    <w:rsid w:val="00684EA0"/>
    <w:rsid w:val="006B0857"/>
    <w:rsid w:val="006C47CC"/>
    <w:rsid w:val="006E0BC1"/>
    <w:rsid w:val="006E55C7"/>
    <w:rsid w:val="006E7338"/>
    <w:rsid w:val="00705D9B"/>
    <w:rsid w:val="00731515"/>
    <w:rsid w:val="007917BB"/>
    <w:rsid w:val="00793499"/>
    <w:rsid w:val="007D774E"/>
    <w:rsid w:val="007F5F5B"/>
    <w:rsid w:val="008006B8"/>
    <w:rsid w:val="00892D25"/>
    <w:rsid w:val="008944EC"/>
    <w:rsid w:val="0089752A"/>
    <w:rsid w:val="008C428C"/>
    <w:rsid w:val="008E5F3A"/>
    <w:rsid w:val="008F3695"/>
    <w:rsid w:val="00904430"/>
    <w:rsid w:val="00916AD3"/>
    <w:rsid w:val="00943879"/>
    <w:rsid w:val="00962FA4"/>
    <w:rsid w:val="009679F5"/>
    <w:rsid w:val="00977B0F"/>
    <w:rsid w:val="00986842"/>
    <w:rsid w:val="009C2978"/>
    <w:rsid w:val="009D3A37"/>
    <w:rsid w:val="009F1BFC"/>
    <w:rsid w:val="00A11767"/>
    <w:rsid w:val="00A401A5"/>
    <w:rsid w:val="00A7489C"/>
    <w:rsid w:val="00A97434"/>
    <w:rsid w:val="00AA611F"/>
    <w:rsid w:val="00AB1021"/>
    <w:rsid w:val="00AC1B02"/>
    <w:rsid w:val="00AC402C"/>
    <w:rsid w:val="00B031BA"/>
    <w:rsid w:val="00B444FE"/>
    <w:rsid w:val="00B606BC"/>
    <w:rsid w:val="00B92EFC"/>
    <w:rsid w:val="00BB4043"/>
    <w:rsid w:val="00BD6636"/>
    <w:rsid w:val="00C01B53"/>
    <w:rsid w:val="00C02FB6"/>
    <w:rsid w:val="00C04C33"/>
    <w:rsid w:val="00C158EC"/>
    <w:rsid w:val="00C25858"/>
    <w:rsid w:val="00C25FE3"/>
    <w:rsid w:val="00C43EBB"/>
    <w:rsid w:val="00C71D7F"/>
    <w:rsid w:val="00CB4DD7"/>
    <w:rsid w:val="00D12866"/>
    <w:rsid w:val="00D1703B"/>
    <w:rsid w:val="00D44A16"/>
    <w:rsid w:val="00D45015"/>
    <w:rsid w:val="00DA0A2A"/>
    <w:rsid w:val="00DB715A"/>
    <w:rsid w:val="00E12004"/>
    <w:rsid w:val="00E14590"/>
    <w:rsid w:val="00E561B4"/>
    <w:rsid w:val="00E95E71"/>
    <w:rsid w:val="00EB14D0"/>
    <w:rsid w:val="00EC2ED0"/>
    <w:rsid w:val="00EC42E5"/>
    <w:rsid w:val="00F158DB"/>
    <w:rsid w:val="00F208BC"/>
    <w:rsid w:val="00F447BD"/>
    <w:rsid w:val="00F46D3E"/>
    <w:rsid w:val="00F94570"/>
    <w:rsid w:val="00FC2D35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C17"/>
  <w15:chartTrackingRefBased/>
  <w15:docId w15:val="{3E7D7A5E-1857-44AE-AC4E-8E885C95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B404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B4043"/>
    <w:pPr>
      <w:spacing w:after="200" w:line="276" w:lineRule="auto"/>
      <w:ind w:left="720"/>
      <w:contextualSpacing/>
    </w:pPr>
  </w:style>
  <w:style w:type="paragraph" w:customStyle="1" w:styleId="Pealkiri10">
    <w:name w:val="Pealkiri1"/>
    <w:basedOn w:val="Pealkiri1"/>
    <w:link w:val="PealkiriChar"/>
    <w:qFormat/>
    <w:rsid w:val="00BB4043"/>
    <w:pPr>
      <w:keepLines/>
      <w:spacing w:before="480" w:after="0" w:line="276" w:lineRule="auto"/>
    </w:pPr>
    <w:rPr>
      <w:rFonts w:ascii="Calibri" w:hAnsi="Calibri"/>
      <w:color w:val="4F81BD"/>
      <w:kern w:val="0"/>
      <w:sz w:val="24"/>
      <w:szCs w:val="24"/>
    </w:rPr>
  </w:style>
  <w:style w:type="character" w:customStyle="1" w:styleId="PealkiriChar">
    <w:name w:val="Pealkiri Char"/>
    <w:link w:val="Pealkiri10"/>
    <w:rsid w:val="00BB4043"/>
    <w:rPr>
      <w:rFonts w:eastAsia="Times New Roman" w:cs="Times New Roman"/>
      <w:b/>
      <w:bCs/>
      <w:color w:val="4F81BD"/>
      <w:sz w:val="24"/>
      <w:szCs w:val="24"/>
      <w:lang w:eastAsia="en-US"/>
    </w:rPr>
  </w:style>
  <w:style w:type="character" w:customStyle="1" w:styleId="Pealkiri1Mrk">
    <w:name w:val="Pealkiri 1 Märk"/>
    <w:link w:val="Pealkiri1"/>
    <w:uiPriority w:val="9"/>
    <w:rsid w:val="00BB404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451C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rsid w:val="004451CB"/>
    <w:rPr>
      <w:lang w:eastAsia="en-US"/>
    </w:rPr>
  </w:style>
  <w:style w:type="character" w:styleId="Allmrkuseviide">
    <w:name w:val="footnote reference"/>
    <w:uiPriority w:val="99"/>
    <w:semiHidden/>
    <w:unhideWhenUsed/>
    <w:rsid w:val="004451CB"/>
    <w:rPr>
      <w:vertAlign w:val="superscript"/>
    </w:rPr>
  </w:style>
  <w:style w:type="paragraph" w:customStyle="1" w:styleId="Joonis">
    <w:name w:val="Joonis"/>
    <w:basedOn w:val="Normaallaad"/>
    <w:link w:val="JoonisChar"/>
    <w:qFormat/>
    <w:rsid w:val="00584DFF"/>
    <w:pPr>
      <w:spacing w:after="200" w:line="276" w:lineRule="auto"/>
      <w:jc w:val="both"/>
    </w:pPr>
    <w:rPr>
      <w:b/>
      <w:bCs/>
      <w:color w:val="4F81BD"/>
    </w:rPr>
  </w:style>
  <w:style w:type="character" w:customStyle="1" w:styleId="JoonisChar">
    <w:name w:val="Joonis Char"/>
    <w:link w:val="Joonis"/>
    <w:rsid w:val="00584DFF"/>
    <w:rPr>
      <w:b/>
      <w:bCs/>
      <w:color w:val="4F81BD"/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5721A0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5721A0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721A0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5721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VSRV1\Redirect$\Piret.puun\Documents\2019%20eelarve\2019%20eelarve%20t&#228;itmise%20l&#252;hi&#252;l%20malli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VVSRV1\Redirect$\Piret.puun\Documents\2019%20eelarve\2019%20eelarve%20t&#228;itmise%20l&#252;hi&#252;l%20malli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t-EE" sz="1100"/>
              <a:t>Põhitegevuse kulud majandusliku sisu alusel valdkonniti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251721969932637E-2"/>
          <c:y val="0.1452813566329339"/>
          <c:w val="0.72208838389491725"/>
          <c:h val="0.668733157981146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 täitmine</c:v>
                  </c:pt>
                  <c:pt idx="1">
                    <c:v>2019 eelarve</c:v>
                  </c:pt>
                  <c:pt idx="2">
                    <c:v>2019 täitmine</c:v>
                  </c:pt>
                  <c:pt idx="3">
                    <c:v>2019 eelarve</c:v>
                  </c:pt>
                  <c:pt idx="4">
                    <c:v>2019 täitmine</c:v>
                  </c:pt>
                  <c:pt idx="5">
                    <c:v>2019 eelarve</c:v>
                  </c:pt>
                  <c:pt idx="6">
                    <c:v>2019 täitmine</c:v>
                  </c:pt>
                  <c:pt idx="7">
                    <c:v>2019 eelarve</c:v>
                  </c:pt>
                  <c:pt idx="8">
                    <c:v>2019 täitmine</c:v>
                  </c:pt>
                  <c:pt idx="9">
                    <c:v>2019 eelarve</c:v>
                  </c:pt>
                  <c:pt idx="10">
                    <c:v>2019 täitmine</c:v>
                  </c:pt>
                  <c:pt idx="11">
                    <c:v>2019 eelarve</c:v>
                  </c:pt>
                </c:lvl>
                <c:lvl>
                  <c:pt idx="0">
                    <c:v>Haridus</c:v>
                  </c:pt>
                  <c:pt idx="2">
                    <c:v>Vaba aeg ja kultuur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#,##0</c:formatCode>
                <c:ptCount val="12"/>
                <c:pt idx="0">
                  <c:v>2034.25</c:v>
                </c:pt>
                <c:pt idx="2">
                  <c:v>341.971</c:v>
                </c:pt>
                <c:pt idx="4">
                  <c:v>332.69799999999998</c:v>
                </c:pt>
                <c:pt idx="6">
                  <c:v>129.13399999999999</c:v>
                </c:pt>
                <c:pt idx="8">
                  <c:v>230.09800000000001</c:v>
                </c:pt>
                <c:pt idx="10">
                  <c:v>410.97200000000004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4-4751-8D90-0C6687C38C4F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 täitmine</c:v>
                  </c:pt>
                  <c:pt idx="1">
                    <c:v>2019 eelarve</c:v>
                  </c:pt>
                  <c:pt idx="2">
                    <c:v>2019 täitmine</c:v>
                  </c:pt>
                  <c:pt idx="3">
                    <c:v>2019 eelarve</c:v>
                  </c:pt>
                  <c:pt idx="4">
                    <c:v>2019 täitmine</c:v>
                  </c:pt>
                  <c:pt idx="5">
                    <c:v>2019 eelarve</c:v>
                  </c:pt>
                  <c:pt idx="6">
                    <c:v>2019 täitmine</c:v>
                  </c:pt>
                  <c:pt idx="7">
                    <c:v>2019 eelarve</c:v>
                  </c:pt>
                  <c:pt idx="8">
                    <c:v>2019 täitmine</c:v>
                  </c:pt>
                  <c:pt idx="9">
                    <c:v>2019 eelarve</c:v>
                  </c:pt>
                  <c:pt idx="10">
                    <c:v>2019 täitmine</c:v>
                  </c:pt>
                  <c:pt idx="11">
                    <c:v>2019 eelarve</c:v>
                  </c:pt>
                </c:lvl>
                <c:lvl>
                  <c:pt idx="0">
                    <c:v>Haridus</c:v>
                  </c:pt>
                  <c:pt idx="2">
                    <c:v>Vaba aeg ja kultuur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#,##0</c:formatCode>
                <c:ptCount val="12"/>
                <c:pt idx="0">
                  <c:v>4653.7529999999997</c:v>
                </c:pt>
                <c:pt idx="2">
                  <c:v>490.3</c:v>
                </c:pt>
                <c:pt idx="4">
                  <c:v>153.19499999999999</c:v>
                </c:pt>
                <c:pt idx="6">
                  <c:v>440.815</c:v>
                </c:pt>
                <c:pt idx="8">
                  <c:v>143.53299999999999</c:v>
                </c:pt>
                <c:pt idx="10">
                  <c:v>137.3240000000005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E4-4751-8D90-0C6687C38C4F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 täitmine</c:v>
                  </c:pt>
                  <c:pt idx="1">
                    <c:v>2019 eelarve</c:v>
                  </c:pt>
                  <c:pt idx="2">
                    <c:v>2019 täitmine</c:v>
                  </c:pt>
                  <c:pt idx="3">
                    <c:v>2019 eelarve</c:v>
                  </c:pt>
                  <c:pt idx="4">
                    <c:v>2019 täitmine</c:v>
                  </c:pt>
                  <c:pt idx="5">
                    <c:v>2019 eelarve</c:v>
                  </c:pt>
                  <c:pt idx="6">
                    <c:v>2019 täitmine</c:v>
                  </c:pt>
                  <c:pt idx="7">
                    <c:v>2019 eelarve</c:v>
                  </c:pt>
                  <c:pt idx="8">
                    <c:v>2019 täitmine</c:v>
                  </c:pt>
                  <c:pt idx="9">
                    <c:v>2019 eelarve</c:v>
                  </c:pt>
                  <c:pt idx="10">
                    <c:v>2019 täitmine</c:v>
                  </c:pt>
                  <c:pt idx="11">
                    <c:v>2019 eelarve</c:v>
                  </c:pt>
                </c:lvl>
                <c:lvl>
                  <c:pt idx="0">
                    <c:v>Haridus</c:v>
                  </c:pt>
                  <c:pt idx="2">
                    <c:v>Vaba aeg ja kultuur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#,##0</c:formatCode>
                <c:ptCount val="12"/>
                <c:pt idx="0">
                  <c:v>192.58699999999999</c:v>
                </c:pt>
                <c:pt idx="2">
                  <c:v>201.40100000000001</c:v>
                </c:pt>
                <c:pt idx="4">
                  <c:v>367.654</c:v>
                </c:pt>
                <c:pt idx="6">
                  <c:v>56.848999999999997</c:v>
                </c:pt>
                <c:pt idx="8">
                  <c:v>0</c:v>
                </c:pt>
                <c:pt idx="10">
                  <c:v>17.730000000000011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E4-4751-8D90-0C6687C38C4F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 täitmine</c:v>
                  </c:pt>
                  <c:pt idx="1">
                    <c:v>2019 eelarve</c:v>
                  </c:pt>
                  <c:pt idx="2">
                    <c:v>2019 täitmine</c:v>
                  </c:pt>
                  <c:pt idx="3">
                    <c:v>2019 eelarve</c:v>
                  </c:pt>
                  <c:pt idx="4">
                    <c:v>2019 täitmine</c:v>
                  </c:pt>
                  <c:pt idx="5">
                    <c:v>2019 eelarve</c:v>
                  </c:pt>
                  <c:pt idx="6">
                    <c:v>2019 täitmine</c:v>
                  </c:pt>
                  <c:pt idx="7">
                    <c:v>2019 eelarve</c:v>
                  </c:pt>
                  <c:pt idx="8">
                    <c:v>2019 täitmine</c:v>
                  </c:pt>
                  <c:pt idx="9">
                    <c:v>2019 eelarve</c:v>
                  </c:pt>
                  <c:pt idx="10">
                    <c:v>2019 täitmine</c:v>
                  </c:pt>
                  <c:pt idx="11">
                    <c:v>2019 eelarve</c:v>
                  </c:pt>
                </c:lvl>
                <c:lvl>
                  <c:pt idx="0">
                    <c:v>Haridus</c:v>
                  </c:pt>
                  <c:pt idx="2">
                    <c:v>Vaba aeg ja kultuur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1732.4690000000001</c:v>
                </c:pt>
                <c:pt idx="3">
                  <c:v>337.15699999999998</c:v>
                </c:pt>
                <c:pt idx="5">
                  <c:v>377.73099999999999</c:v>
                </c:pt>
                <c:pt idx="7">
                  <c:v>155.80000000000001</c:v>
                </c:pt>
                <c:pt idx="9" formatCode="0.00">
                  <c:v>325.55500000000001</c:v>
                </c:pt>
                <c:pt idx="11" formatCode="#,##0">
                  <c:v>422.29399999999993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E4-4751-8D90-0C6687C38C4F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 täitmine</c:v>
                  </c:pt>
                  <c:pt idx="1">
                    <c:v>2019 eelarve</c:v>
                  </c:pt>
                  <c:pt idx="2">
                    <c:v>2019 täitmine</c:v>
                  </c:pt>
                  <c:pt idx="3">
                    <c:v>2019 eelarve</c:v>
                  </c:pt>
                  <c:pt idx="4">
                    <c:v>2019 täitmine</c:v>
                  </c:pt>
                  <c:pt idx="5">
                    <c:v>2019 eelarve</c:v>
                  </c:pt>
                  <c:pt idx="6">
                    <c:v>2019 täitmine</c:v>
                  </c:pt>
                  <c:pt idx="7">
                    <c:v>2019 eelarve</c:v>
                  </c:pt>
                  <c:pt idx="8">
                    <c:v>2019 täitmine</c:v>
                  </c:pt>
                  <c:pt idx="9">
                    <c:v>2019 eelarve</c:v>
                  </c:pt>
                  <c:pt idx="10">
                    <c:v>2019 täitmine</c:v>
                  </c:pt>
                  <c:pt idx="11">
                    <c:v>2019 eelarve</c:v>
                  </c:pt>
                </c:lvl>
                <c:lvl>
                  <c:pt idx="0">
                    <c:v>Haridus</c:v>
                  </c:pt>
                  <c:pt idx="2">
                    <c:v>Vaba aeg ja kultuur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4658.6779999999999</c:v>
                </c:pt>
                <c:pt idx="3">
                  <c:v>481.77</c:v>
                </c:pt>
                <c:pt idx="5">
                  <c:v>165.494</c:v>
                </c:pt>
                <c:pt idx="7">
                  <c:v>452.06299999999999</c:v>
                </c:pt>
                <c:pt idx="9">
                  <c:v>143.31899999999999</c:v>
                </c:pt>
                <c:pt idx="11" formatCode="#,##0">
                  <c:v>156.5319999999999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E4-4751-8D90-0C6687C38C4F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 täitmine</c:v>
                  </c:pt>
                  <c:pt idx="1">
                    <c:v>2019 eelarve</c:v>
                  </c:pt>
                  <c:pt idx="2">
                    <c:v>2019 täitmine</c:v>
                  </c:pt>
                  <c:pt idx="3">
                    <c:v>2019 eelarve</c:v>
                  </c:pt>
                  <c:pt idx="4">
                    <c:v>2019 täitmine</c:v>
                  </c:pt>
                  <c:pt idx="5">
                    <c:v>2019 eelarve</c:v>
                  </c:pt>
                  <c:pt idx="6">
                    <c:v>2019 täitmine</c:v>
                  </c:pt>
                  <c:pt idx="7">
                    <c:v>2019 eelarve</c:v>
                  </c:pt>
                  <c:pt idx="8">
                    <c:v>2019 täitmine</c:v>
                  </c:pt>
                  <c:pt idx="9">
                    <c:v>2019 eelarve</c:v>
                  </c:pt>
                  <c:pt idx="10">
                    <c:v>2019 täitmine</c:v>
                  </c:pt>
                  <c:pt idx="11">
                    <c:v>2019 eelarve</c:v>
                  </c:pt>
                </c:lvl>
                <c:lvl>
                  <c:pt idx="0">
                    <c:v>Haridus</c:v>
                  </c:pt>
                  <c:pt idx="2">
                    <c:v>Vaba aeg ja kultuur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185.643</c:v>
                </c:pt>
                <c:pt idx="3">
                  <c:v>208.52199999999999</c:v>
                </c:pt>
                <c:pt idx="5">
                  <c:v>367.822</c:v>
                </c:pt>
                <c:pt idx="7">
                  <c:v>58.591000000000001</c:v>
                </c:pt>
                <c:pt idx="9">
                  <c:v>8</c:v>
                </c:pt>
                <c:pt idx="11" formatCode="#,##0">
                  <c:v>32.292999999999957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E4-4751-8D90-0C6687C38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359676272"/>
        <c:axId val="1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40E4-4751-8D90-0C6687C38C4F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40E4-4751-8D90-0C6687C38C4F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40E4-4751-8D90-0C6687C38C4F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40E4-4751-8D90-0C6687C38C4F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40E4-4751-8D90-0C6687C38C4F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40E4-4751-8D90-0C6687C38C4F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E4-4751-8D90-0C6687C38C4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E4-4751-8D90-0C6687C38C4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E4-4751-8D90-0C6687C38C4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E4-4751-8D90-0C6687C38C4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E4-4751-8D90-0C6687C38C4F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E4-4751-8D90-0C6687C38C4F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2019 täitmine</c:v>
                  </c:pt>
                  <c:pt idx="1">
                    <c:v>2019 eelarve</c:v>
                  </c:pt>
                  <c:pt idx="2">
                    <c:v>2019 täitmine</c:v>
                  </c:pt>
                  <c:pt idx="3">
                    <c:v>2019 eelarve</c:v>
                  </c:pt>
                  <c:pt idx="4">
                    <c:v>2019 täitmine</c:v>
                  </c:pt>
                  <c:pt idx="5">
                    <c:v>2019 eelarve</c:v>
                  </c:pt>
                  <c:pt idx="6">
                    <c:v>2019 täitmine</c:v>
                  </c:pt>
                  <c:pt idx="7">
                    <c:v>2019 eelarve</c:v>
                  </c:pt>
                  <c:pt idx="8">
                    <c:v>2019 täitmine</c:v>
                  </c:pt>
                  <c:pt idx="9">
                    <c:v>2019 eelarve</c:v>
                  </c:pt>
                  <c:pt idx="10">
                    <c:v>2019 täitmine</c:v>
                  </c:pt>
                  <c:pt idx="11">
                    <c:v>2019 eelarve</c:v>
                  </c:pt>
                </c:lvl>
                <c:lvl>
                  <c:pt idx="0">
                    <c:v>Haridus</c:v>
                  </c:pt>
                  <c:pt idx="2">
                    <c:v>Vaba aeg ja kultuur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0.0%</c:formatCode>
                <c:ptCount val="12"/>
                <c:pt idx="0">
                  <c:v>4.6192747525768629E-2</c:v>
                </c:pt>
                <c:pt idx="2">
                  <c:v>6.0567483154883028E-3</c:v>
                </c:pt>
                <c:pt idx="4">
                  <c:v>-6.3114197181923681E-2</c:v>
                </c:pt>
                <c:pt idx="6">
                  <c:v>-5.9502981451083015E-2</c:v>
                </c:pt>
                <c:pt idx="8">
                  <c:v>-0.21649953656521437</c:v>
                </c:pt>
                <c:pt idx="10">
                  <c:v>-7.3787592923799328E-2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0E4-4751-8D90-0C6687C38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35967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59676272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3"/>
        <c:crosses val="max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4329947775561731"/>
          <c:y val="0.4394695496688133"/>
          <c:w val="0.15670052224438269"/>
          <c:h val="0.16257054444069977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Investeeringud valdkondade ja finantseerimisallikate kaupa (tuhat eurot)</a:t>
            </a:r>
          </a:p>
        </c:rich>
      </c:tx>
      <c:layout>
        <c:manualLayout>
          <c:xMode val="edge"/>
          <c:yMode val="edge"/>
          <c:x val="0.17350094052782078"/>
          <c:y val="1.5540042788769051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kommunaal-majandus</c:v>
                </c:pt>
                <c:pt idx="3">
                  <c:v>Keskkonnakaitse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702.43799999999999</c:v>
                </c:pt>
                <c:pt idx="1">
                  <c:v>396.03100000000001</c:v>
                </c:pt>
                <c:pt idx="2">
                  <c:v>492.75099999999998</c:v>
                </c:pt>
                <c:pt idx="3">
                  <c:v>14.458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B-4B27-83A2-44076E7ED7B4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kommunaal-majandus</c:v>
                </c:pt>
                <c:pt idx="3">
                  <c:v>Keskkonnakaitse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1261.826</c:v>
                </c:pt>
                <c:pt idx="1">
                  <c:v>738.601</c:v>
                </c:pt>
                <c:pt idx="2">
                  <c:v>382.53100000000001</c:v>
                </c:pt>
                <c:pt idx="3">
                  <c:v>107.373</c:v>
                </c:pt>
                <c:pt idx="4">
                  <c:v>47.042000000000002</c:v>
                </c:pt>
                <c:pt idx="5">
                  <c:v>13.81899999999996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CB-4B27-83A2-44076E7ED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213336016"/>
        <c:axId val="1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2019 eelarve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kommunaal-majandus</c:v>
                </c:pt>
                <c:pt idx="3">
                  <c:v>Keskkonnakaitse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2244.7800000000002</c:v>
                </c:pt>
                <c:pt idx="1">
                  <c:v>2030.5989999999999</c:v>
                </c:pt>
                <c:pt idx="2">
                  <c:v>932.13800000000003</c:v>
                </c:pt>
                <c:pt idx="3">
                  <c:v>103.145</c:v>
                </c:pt>
                <c:pt idx="4">
                  <c:v>57.177</c:v>
                </c:pt>
                <c:pt idx="5">
                  <c:v>158.95100000000002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5CB-4B27-83A2-44076E7ED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336016"/>
        <c:axId val="1"/>
      </c:lineChart>
      <c:catAx>
        <c:axId val="213336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33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2703-0903-4473-BA03-3DF249B3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771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Sannik</dc:creator>
  <cp:keywords/>
  <dc:description/>
  <cp:lastModifiedBy>Piret Puun</cp:lastModifiedBy>
  <cp:revision>29</cp:revision>
  <dcterms:created xsi:type="dcterms:W3CDTF">2020-03-04T13:53:00Z</dcterms:created>
  <dcterms:modified xsi:type="dcterms:W3CDTF">2020-03-05T11:29:00Z</dcterms:modified>
</cp:coreProperties>
</file>