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13" w:rsidRDefault="00682013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Lühiülevaade </w:t>
      </w:r>
      <w:r w:rsidR="00255A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Kohila valla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201</w:t>
      </w:r>
      <w:r w:rsidR="00616F0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7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a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asta valla eelarvest </w:t>
      </w:r>
    </w:p>
    <w:p w:rsidR="005030C7" w:rsidRPr="00685E8F" w:rsidRDefault="005030C7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82013" w:rsidRPr="00685E8F" w:rsidRDefault="00682013" w:rsidP="00503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5E8F">
        <w:rPr>
          <w:rFonts w:ascii="Times New Roman" w:hAnsi="Times New Roman" w:cs="Times New Roman"/>
          <w:sz w:val="20"/>
          <w:szCs w:val="20"/>
        </w:rPr>
        <w:t>Vald kinnitas oma prioriteedid 201</w:t>
      </w:r>
      <w:r w:rsidR="00AC0050">
        <w:rPr>
          <w:rFonts w:ascii="Times New Roman" w:hAnsi="Times New Roman" w:cs="Times New Roman"/>
          <w:sz w:val="20"/>
          <w:szCs w:val="20"/>
        </w:rPr>
        <w:t>7</w:t>
      </w:r>
      <w:r w:rsidRPr="00685E8F">
        <w:rPr>
          <w:rFonts w:ascii="Times New Roman" w:hAnsi="Times New Roman" w:cs="Times New Roman"/>
          <w:sz w:val="20"/>
          <w:szCs w:val="20"/>
        </w:rPr>
        <w:t xml:space="preserve">. aastaks </w:t>
      </w:r>
      <w:hyperlink r:id="rId8" w:history="1">
        <w:r w:rsidRPr="0027380C">
          <w:rPr>
            <w:rStyle w:val="Hperlink"/>
            <w:rFonts w:ascii="Times New Roman" w:hAnsi="Times New Roman" w:cs="Times New Roman"/>
            <w:i/>
            <w:sz w:val="20"/>
            <w:szCs w:val="20"/>
          </w:rPr>
          <w:t>eelarvestrateegias</w:t>
        </w:r>
      </w:hyperlink>
      <w:r w:rsidRPr="00685E8F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 xml:space="preserve"> 201</w:t>
      </w:r>
      <w:r w:rsidR="00AC0050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7</w:t>
      </w:r>
      <w:r w:rsidRPr="00685E8F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-20</w:t>
      </w:r>
      <w:r w:rsidR="00AC0050">
        <w:rPr>
          <w:rFonts w:ascii="Times New Roman" w:hAnsi="Times New Roman" w:cs="Times New Roman"/>
          <w:i/>
          <w:color w:val="548DD4" w:themeColor="text2" w:themeTint="99"/>
          <w:sz w:val="20"/>
          <w:szCs w:val="20"/>
          <w:u w:val="single"/>
        </w:rPr>
        <w:t>20</w:t>
      </w:r>
      <w:r w:rsidRPr="00685E8F">
        <w:rPr>
          <w:rFonts w:ascii="Times New Roman" w:hAnsi="Times New Roman" w:cs="Times New Roman"/>
          <w:sz w:val="20"/>
          <w:szCs w:val="20"/>
        </w:rPr>
        <w:t>,</w:t>
      </w:r>
      <w:r w:rsidRPr="00685E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mis võeti vastu 201</w:t>
      </w:r>
      <w:r w:rsidR="00AC0050">
        <w:rPr>
          <w:rFonts w:ascii="Times New Roman" w:hAnsi="Times New Roman" w:cs="Times New Roman"/>
          <w:sz w:val="20"/>
          <w:szCs w:val="20"/>
        </w:rPr>
        <w:t>6</w:t>
      </w:r>
      <w:r w:rsidRPr="00685E8F">
        <w:rPr>
          <w:rFonts w:ascii="Times New Roman" w:hAnsi="Times New Roman" w:cs="Times New Roman"/>
          <w:sz w:val="20"/>
          <w:szCs w:val="20"/>
        </w:rPr>
        <w:t>.</w:t>
      </w:r>
      <w:r w:rsidR="003B0467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 xml:space="preserve">aasta septembris. </w:t>
      </w:r>
      <w:r w:rsidR="00623AB1">
        <w:rPr>
          <w:rFonts w:ascii="Times New Roman" w:hAnsi="Times New Roman" w:cs="Times New Roman"/>
          <w:sz w:val="20"/>
          <w:szCs w:val="20"/>
        </w:rPr>
        <w:t xml:space="preserve">Tänu </w:t>
      </w:r>
      <w:r w:rsidR="00255AD8">
        <w:rPr>
          <w:rFonts w:ascii="Times New Roman" w:hAnsi="Times New Roman" w:cs="Times New Roman"/>
          <w:sz w:val="20"/>
          <w:szCs w:val="20"/>
        </w:rPr>
        <w:t xml:space="preserve">peamiselt </w:t>
      </w:r>
      <w:r w:rsidR="00623AB1">
        <w:rPr>
          <w:rFonts w:ascii="Times New Roman" w:hAnsi="Times New Roman" w:cs="Times New Roman"/>
          <w:sz w:val="20"/>
          <w:szCs w:val="20"/>
        </w:rPr>
        <w:t>riigitoetuste kasvule on eelarve tulud eelarvestrateegias prognoositust suuremad.</w:t>
      </w:r>
    </w:p>
    <w:p w:rsidR="00682013" w:rsidRDefault="00682013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201</w:t>
      </w:r>
      <w:r w:rsidR="00AC0050">
        <w:rPr>
          <w:rFonts w:ascii="Times New Roman" w:hAnsi="Times New Roman" w:cs="Times New Roman"/>
        </w:rPr>
        <w:t>7</w:t>
      </w:r>
      <w:r w:rsidRPr="00685E8F">
        <w:rPr>
          <w:rFonts w:ascii="Times New Roman" w:hAnsi="Times New Roman" w:cs="Times New Roman"/>
        </w:rPr>
        <w:t>.</w:t>
      </w:r>
      <w:r w:rsidR="00623AB1">
        <w:rPr>
          <w:rFonts w:ascii="Times New Roman" w:hAnsi="Times New Roman" w:cs="Times New Roman"/>
        </w:rPr>
        <w:t xml:space="preserve"> </w:t>
      </w:r>
      <w:r w:rsidRPr="00685E8F">
        <w:rPr>
          <w:rFonts w:ascii="Times New Roman" w:hAnsi="Times New Roman" w:cs="Times New Roman"/>
        </w:rPr>
        <w:t xml:space="preserve">aastaks on vallal </w:t>
      </w:r>
      <w:r w:rsidR="003B0467">
        <w:rPr>
          <w:rFonts w:ascii="Times New Roman" w:hAnsi="Times New Roman" w:cs="Times New Roman"/>
        </w:rPr>
        <w:t>järgmised prioriteedid:</w:t>
      </w:r>
      <w:r w:rsidR="00DA00D5">
        <w:rPr>
          <w:rFonts w:ascii="Times New Roman" w:hAnsi="Times New Roman" w:cs="Times New Roman"/>
        </w:rPr>
        <w:t xml:space="preserve"> 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  <w:color w:val="FF0000"/>
        </w:rPr>
      </w:pPr>
    </w:p>
    <w:p w:rsidR="00DA00D5" w:rsidRP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2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Kohila Gümnaasiumi </w:t>
      </w:r>
      <w:r w:rsidR="00AC0050">
        <w:rPr>
          <w:rFonts w:ascii="Times New Roman" w:hAnsi="Times New Roman" w:cs="Times New Roman"/>
          <w:color w:val="000000" w:themeColor="text1"/>
          <w:sz w:val="20"/>
          <w:szCs w:val="20"/>
        </w:rPr>
        <w:t>juurdeehitus</w:t>
      </w:r>
    </w:p>
    <w:p w:rsidR="00AE242F" w:rsidRDefault="00AE242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Investeeringu</w:t>
      </w:r>
      <w:r w:rsidR="001A23AD">
        <w:rPr>
          <w:rFonts w:ascii="Times New Roman" w:hAnsi="Times New Roman" w:cs="Times New Roman"/>
          <w:color w:val="000000" w:themeColor="text1"/>
          <w:sz w:val="20"/>
          <w:szCs w:val="20"/>
        </w:rPr>
        <w:t>d teedesse</w:t>
      </w:r>
      <w:r w:rsidR="00AC0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tänavavalgustusse</w:t>
      </w:r>
      <w:r w:rsidR="001A23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(sh kergteedesse)</w:t>
      </w:r>
    </w:p>
    <w:p w:rsidR="00AC0050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Tervisekeskuse renoveerimine</w:t>
      </w:r>
    </w:p>
    <w:p w:rsidR="00AC0050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Männi lasteaia vana osa energiatõhususe tõstmine</w:t>
      </w:r>
    </w:p>
    <w:p w:rsidR="001A23AD" w:rsidRDefault="00F81F61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Investeeringud tervisespordi ja vabaaja rajatistesse</w:t>
      </w:r>
    </w:p>
    <w:p w:rsidR="00F81F61" w:rsidRDefault="00F81F61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Ühisveevärgi ja kanalisatsiooni rajamise projektiga jätkamine Aespa-Vilivere aedlinnaku piirkonnas</w:t>
      </w:r>
    </w:p>
    <w:p w:rsidR="00F81F61" w:rsidRDefault="00AC0050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Tsentraalse küttevõrgu laiendamine Kohila alevis</w:t>
      </w:r>
    </w:p>
    <w:p w:rsidR="00E53BEA" w:rsidRDefault="00E53BEA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Valla allasutuste töötajate töötasu vähemalt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5% tõstmine</w:t>
      </w:r>
    </w:p>
    <w:p w:rsidR="00F81F61" w:rsidRPr="00AE242F" w:rsidRDefault="00F81F61" w:rsidP="005030C7">
      <w:pPr>
        <w:pStyle w:val="Loendilik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2013" w:rsidRDefault="00682013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Põhitegevuse tulud</w:t>
      </w:r>
      <w:r w:rsidR="00514C14">
        <w:rPr>
          <w:rStyle w:val="Allmrkuseviide"/>
          <w:rFonts w:ascii="Times New Roman" w:hAnsi="Times New Roman" w:cs="Times New Roman"/>
        </w:rPr>
        <w:footnoteReference w:id="1"/>
      </w:r>
    </w:p>
    <w:p w:rsidR="00DA00D5" w:rsidRPr="00685E8F" w:rsidRDefault="00DA00D5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82013" w:rsidRPr="00685E8F" w:rsidRDefault="00682013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E8F">
        <w:rPr>
          <w:rFonts w:ascii="Times New Roman" w:hAnsi="Times New Roman" w:cs="Times New Roman"/>
          <w:b/>
          <w:sz w:val="20"/>
          <w:szCs w:val="20"/>
        </w:rPr>
        <w:t>201</w:t>
      </w:r>
      <w:r w:rsidR="00AC0050">
        <w:rPr>
          <w:rFonts w:ascii="Times New Roman" w:hAnsi="Times New Roman" w:cs="Times New Roman"/>
          <w:b/>
          <w:sz w:val="20"/>
          <w:szCs w:val="20"/>
        </w:rPr>
        <w:t>7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3B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eelarves on planeeritud </w:t>
      </w:r>
      <w:r w:rsidR="00F143C6">
        <w:rPr>
          <w:rFonts w:ascii="Times New Roman" w:hAnsi="Times New Roman" w:cs="Times New Roman"/>
          <w:b/>
          <w:sz w:val="20"/>
          <w:szCs w:val="20"/>
        </w:rPr>
        <w:t xml:space="preserve">põhitegevuse </w:t>
      </w:r>
      <w:r w:rsidRPr="00685E8F">
        <w:rPr>
          <w:rFonts w:ascii="Times New Roman" w:hAnsi="Times New Roman" w:cs="Times New Roman"/>
          <w:b/>
          <w:sz w:val="20"/>
          <w:szCs w:val="20"/>
        </w:rPr>
        <w:t>tulu</w:t>
      </w:r>
      <w:r w:rsidR="003B0467">
        <w:rPr>
          <w:rFonts w:ascii="Times New Roman" w:hAnsi="Times New Roman" w:cs="Times New Roman"/>
          <w:b/>
          <w:sz w:val="20"/>
          <w:szCs w:val="20"/>
        </w:rPr>
        <w:t>d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467">
        <w:rPr>
          <w:rFonts w:ascii="Times New Roman" w:hAnsi="Times New Roman" w:cs="Times New Roman"/>
          <w:b/>
          <w:sz w:val="20"/>
          <w:szCs w:val="20"/>
        </w:rPr>
        <w:t>8</w:t>
      </w:r>
      <w:r w:rsidR="007F5917">
        <w:rPr>
          <w:rFonts w:ascii="Times New Roman" w:hAnsi="Times New Roman" w:cs="Times New Roman"/>
          <w:b/>
          <w:sz w:val="20"/>
          <w:szCs w:val="20"/>
        </w:rPr>
        <w:t>,6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eurot. See on 0,</w:t>
      </w:r>
      <w:r w:rsidR="007F5917">
        <w:rPr>
          <w:rFonts w:ascii="Times New Roman" w:hAnsi="Times New Roman" w:cs="Times New Roman"/>
          <w:b/>
          <w:sz w:val="20"/>
          <w:szCs w:val="20"/>
        </w:rPr>
        <w:t>4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7F5917">
        <w:rPr>
          <w:rFonts w:ascii="Times New Roman" w:hAnsi="Times New Roman" w:cs="Times New Roman"/>
          <w:b/>
          <w:sz w:val="20"/>
          <w:szCs w:val="20"/>
        </w:rPr>
        <w:t>4,9</w:t>
      </w:r>
      <w:r w:rsidRPr="00685E8F">
        <w:rPr>
          <w:rFonts w:ascii="Times New Roman" w:hAnsi="Times New Roman" w:cs="Times New Roman"/>
          <w:b/>
          <w:sz w:val="20"/>
          <w:szCs w:val="20"/>
        </w:rPr>
        <w:t>% enam kui 201</w:t>
      </w:r>
      <w:r w:rsidR="007F5917">
        <w:rPr>
          <w:rFonts w:ascii="Times New Roman" w:hAnsi="Times New Roman" w:cs="Times New Roman"/>
          <w:b/>
          <w:sz w:val="20"/>
          <w:szCs w:val="20"/>
        </w:rPr>
        <w:t>6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8D0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 täitmine. </w:t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Eelarve tuludest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65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,3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5,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moodustab tulumaks (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võrreldes eelmise aastaga kasv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8,6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85E8F">
        <w:rPr>
          <w:rStyle w:val="Allmrkuseviid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</w:p>
    <w:p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Kaupade ja teenuste müügist kogutakse eelarvesse 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0,</w:t>
      </w:r>
      <w:r w:rsidR="007F591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(+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>1,2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%). Laekumise kasvu mõjutab eelkõige lapsevanemate osalustasu lasteaedades, mis on sõltuvuses Vabariigi Valitsuse poolt kehtestatud alampalgast (lasteaia osalustasu tõuseb 201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>7 eurole).</w:t>
      </w:r>
    </w:p>
    <w:p w:rsid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Saadud toetused moodustavad eelarve tuludest 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16F01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%, ulatudes 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16F01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 euroni (-0,3%)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2016. a laekus 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>täiendavaid toetusi, millega ei saa enne eraldamist eelarves arvestada ja erakoolides käivate valla õpilaste kohamaksud, mida tasub riik sellel aastal otse erakoolidele.</w:t>
      </w:r>
    </w:p>
    <w:p w:rsidR="00682013" w:rsidRP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Muud tulud (maamaks, keskkonnatasud jms) moodustavad eelarve tuludest 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>7,7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 ehk 0,</w:t>
      </w:r>
      <w:r w:rsidR="00456283">
        <w:rPr>
          <w:rFonts w:ascii="Times New Roman" w:hAnsi="Times New Roman" w:cs="Times New Roman"/>
          <w:color w:val="000000" w:themeColor="text1"/>
          <w:sz w:val="20"/>
          <w:szCs w:val="20"/>
        </w:rPr>
        <w:t>4 miljonit eurot (+1,7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="000B2CE0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 kulud </w:t>
      </w:r>
      <w:r>
        <w:rPr>
          <w:rStyle w:val="Allmrkuseviide"/>
          <w:rFonts w:ascii="Times New Roman" w:hAnsi="Times New Roman" w:cs="Times New Roman"/>
        </w:rPr>
        <w:footnoteReference w:id="3"/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157C18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. aasta eelarves on planeeritud põhitegevuse kulud </w:t>
      </w:r>
      <w:r w:rsidR="00157C18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eurot. See on </w:t>
      </w:r>
      <w:r w:rsidR="00157C18">
        <w:rPr>
          <w:rFonts w:ascii="Times New Roman" w:hAnsi="Times New Roman" w:cs="Times New Roman"/>
          <w:b/>
          <w:sz w:val="20"/>
          <w:szCs w:val="20"/>
        </w:rPr>
        <w:t>1,1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157C18">
        <w:rPr>
          <w:rFonts w:ascii="Times New Roman" w:hAnsi="Times New Roman" w:cs="Times New Roman"/>
          <w:b/>
          <w:sz w:val="20"/>
          <w:szCs w:val="20"/>
        </w:rPr>
        <w:t>15,9</w:t>
      </w:r>
      <w:r>
        <w:rPr>
          <w:rFonts w:ascii="Times New Roman" w:hAnsi="Times New Roman" w:cs="Times New Roman"/>
          <w:b/>
          <w:sz w:val="20"/>
          <w:szCs w:val="20"/>
        </w:rPr>
        <w:t>% enam kui 201</w:t>
      </w:r>
      <w:r w:rsidR="00157C1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. aasta eelarve täitmine.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Põhitegevuse kulud jaotuvad üheksa erineva valdkonna vahel, mis omakorda jagunevad majandusliku sisu alusel kaheks: majandamis- ja personalikulud.</w:t>
      </w:r>
    </w:p>
    <w:p w:rsidR="00F143C6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Haridus</w:t>
      </w:r>
      <w:r>
        <w:rPr>
          <w:rFonts w:ascii="Times New Roman" w:hAnsi="Times New Roman" w:cs="Times New Roman"/>
          <w:sz w:val="20"/>
          <w:szCs w:val="20"/>
        </w:rPr>
        <w:t xml:space="preserve"> moodustab põhitegevuse kuludest </w:t>
      </w:r>
      <w:r w:rsidR="00E7137B">
        <w:rPr>
          <w:rFonts w:ascii="Times New Roman" w:hAnsi="Times New Roman" w:cs="Times New Roman"/>
          <w:sz w:val="20"/>
          <w:szCs w:val="20"/>
        </w:rPr>
        <w:t xml:space="preserve">suurima osa </w:t>
      </w:r>
      <w:r w:rsidR="00E8001C">
        <w:rPr>
          <w:rFonts w:ascii="Times New Roman" w:hAnsi="Times New Roman" w:cs="Times New Roman"/>
          <w:sz w:val="20"/>
          <w:szCs w:val="20"/>
        </w:rPr>
        <w:t>60,2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E7137B">
        <w:rPr>
          <w:rFonts w:ascii="Times New Roman" w:hAnsi="Times New Roman" w:cs="Times New Roman"/>
          <w:sz w:val="20"/>
          <w:szCs w:val="20"/>
        </w:rPr>
        <w:t>4,</w:t>
      </w:r>
      <w:r w:rsidR="0045199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miljonit</w:t>
      </w:r>
      <w:r w:rsidR="00DA00D5">
        <w:rPr>
          <w:rFonts w:ascii="Times New Roman" w:hAnsi="Times New Roman" w:cs="Times New Roman"/>
          <w:sz w:val="20"/>
          <w:szCs w:val="20"/>
        </w:rPr>
        <w:t xml:space="preserve"> eurot</w:t>
      </w:r>
      <w:r>
        <w:rPr>
          <w:rFonts w:ascii="Times New Roman" w:hAnsi="Times New Roman" w:cs="Times New Roman"/>
          <w:sz w:val="20"/>
          <w:szCs w:val="20"/>
        </w:rPr>
        <w:t>, kasv (+</w:t>
      </w:r>
      <w:r w:rsidR="0045199E">
        <w:rPr>
          <w:rFonts w:ascii="Times New Roman" w:hAnsi="Times New Roman" w:cs="Times New Roman"/>
          <w:sz w:val="20"/>
          <w:szCs w:val="20"/>
        </w:rPr>
        <w:t>20</w:t>
      </w:r>
      <w:r w:rsidR="004074AA">
        <w:rPr>
          <w:rFonts w:ascii="Times New Roman" w:hAnsi="Times New Roman" w:cs="Times New Roman"/>
          <w:sz w:val="20"/>
          <w:szCs w:val="20"/>
        </w:rPr>
        <w:t>,3</w:t>
      </w:r>
      <w:r>
        <w:rPr>
          <w:rFonts w:ascii="Times New Roman" w:hAnsi="Times New Roman" w:cs="Times New Roman"/>
          <w:sz w:val="20"/>
          <w:szCs w:val="20"/>
        </w:rPr>
        <w:t>%)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4519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99E" w:rsidRPr="0045199E">
        <w:rPr>
          <w:rFonts w:ascii="Times New Roman" w:hAnsi="Times New Roman" w:cs="Times New Roman"/>
          <w:sz w:val="20"/>
          <w:szCs w:val="20"/>
        </w:rPr>
        <w:t>Suure</w:t>
      </w:r>
      <w:r w:rsidR="004074AA">
        <w:rPr>
          <w:rFonts w:ascii="Times New Roman" w:hAnsi="Times New Roman" w:cs="Times New Roman"/>
          <w:sz w:val="20"/>
          <w:szCs w:val="20"/>
        </w:rPr>
        <w:t>ma</w:t>
      </w:r>
      <w:r w:rsidR="0045199E" w:rsidRPr="0045199E">
        <w:rPr>
          <w:rFonts w:ascii="Times New Roman" w:hAnsi="Times New Roman" w:cs="Times New Roman"/>
          <w:sz w:val="20"/>
          <w:szCs w:val="20"/>
        </w:rPr>
        <w:t xml:space="preserve"> tõusu põhjustab </w:t>
      </w:r>
      <w:r w:rsidR="0045199E">
        <w:rPr>
          <w:rFonts w:ascii="Times New Roman" w:hAnsi="Times New Roman" w:cs="Times New Roman"/>
          <w:sz w:val="20"/>
          <w:szCs w:val="20"/>
        </w:rPr>
        <w:t xml:space="preserve">klassifikaatori muutmisega </w:t>
      </w:r>
      <w:r w:rsidR="0045199E" w:rsidRPr="0045199E">
        <w:rPr>
          <w:rFonts w:ascii="Times New Roman" w:hAnsi="Times New Roman" w:cs="Times New Roman"/>
          <w:sz w:val="20"/>
          <w:szCs w:val="20"/>
        </w:rPr>
        <w:t xml:space="preserve">koolituskeskuse kulude toomine </w:t>
      </w:r>
      <w:r w:rsidR="0045199E">
        <w:rPr>
          <w:rFonts w:ascii="Times New Roman" w:hAnsi="Times New Roman" w:cs="Times New Roman"/>
          <w:sz w:val="20"/>
          <w:szCs w:val="20"/>
        </w:rPr>
        <w:t xml:space="preserve">vaba aja valdkonnast </w:t>
      </w:r>
      <w:r w:rsidR="0045199E" w:rsidRPr="0045199E">
        <w:rPr>
          <w:rFonts w:ascii="Times New Roman" w:hAnsi="Times New Roman" w:cs="Times New Roman"/>
          <w:sz w:val="20"/>
          <w:szCs w:val="20"/>
        </w:rPr>
        <w:t>hariduse valdkonda</w:t>
      </w:r>
      <w:r w:rsidR="004074AA">
        <w:rPr>
          <w:rFonts w:ascii="Times New Roman" w:hAnsi="Times New Roman" w:cs="Times New Roman"/>
          <w:sz w:val="20"/>
          <w:szCs w:val="20"/>
        </w:rPr>
        <w:t xml:space="preserve"> ja gümnaasiumi detsembri lõpul olnud palgapäeva üle toomine jaanuari algusesse (2016. a 11</w:t>
      </w:r>
      <w:r w:rsidR="00E8001C">
        <w:rPr>
          <w:rFonts w:ascii="Times New Roman" w:hAnsi="Times New Roman" w:cs="Times New Roman"/>
          <w:sz w:val="20"/>
          <w:szCs w:val="20"/>
        </w:rPr>
        <w:t xml:space="preserve"> kuud</w:t>
      </w:r>
      <w:r w:rsidR="004074AA">
        <w:rPr>
          <w:rFonts w:ascii="Times New Roman" w:hAnsi="Times New Roman" w:cs="Times New Roman"/>
          <w:sz w:val="20"/>
          <w:szCs w:val="20"/>
        </w:rPr>
        <w:t xml:space="preserve"> palga väljamaksmist, 2017. a 13 </w:t>
      </w:r>
      <w:r w:rsidR="00E8001C">
        <w:rPr>
          <w:rFonts w:ascii="Times New Roman" w:hAnsi="Times New Roman" w:cs="Times New Roman"/>
          <w:sz w:val="20"/>
          <w:szCs w:val="20"/>
        </w:rPr>
        <w:t xml:space="preserve">kuud </w:t>
      </w:r>
      <w:r w:rsidR="004074AA">
        <w:rPr>
          <w:rFonts w:ascii="Times New Roman" w:hAnsi="Times New Roman" w:cs="Times New Roman"/>
          <w:sz w:val="20"/>
          <w:szCs w:val="20"/>
        </w:rPr>
        <w:t>palga väljamaksmist).</w:t>
      </w:r>
    </w:p>
    <w:p w:rsidR="004074AA" w:rsidRPr="0045199E" w:rsidRDefault="004074AA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Default="00F143C6" w:rsidP="005030C7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Võrreldes 201</w:t>
      </w:r>
      <w:r w:rsidR="0045199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.aastaga suurenevad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4074AA" w:rsidRPr="004074AA" w:rsidRDefault="00F143C6" w:rsidP="00D3150E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4AA">
        <w:rPr>
          <w:rFonts w:ascii="Times New Roman" w:hAnsi="Times New Roman" w:cs="Times New Roman"/>
          <w:b/>
          <w:sz w:val="20"/>
          <w:szCs w:val="20"/>
        </w:rPr>
        <w:lastRenderedPageBreak/>
        <w:t>Majandamiskulud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8617ED" w:rsidRPr="004074AA">
        <w:rPr>
          <w:rFonts w:ascii="Times New Roman" w:hAnsi="Times New Roman" w:cs="Times New Roman"/>
          <w:sz w:val="20"/>
          <w:szCs w:val="20"/>
        </w:rPr>
        <w:t>1,</w:t>
      </w:r>
      <w:r w:rsidR="004074AA" w:rsidRPr="004074AA">
        <w:rPr>
          <w:rFonts w:ascii="Times New Roman" w:hAnsi="Times New Roman" w:cs="Times New Roman"/>
          <w:sz w:val="20"/>
          <w:szCs w:val="20"/>
        </w:rPr>
        <w:t>3</w:t>
      </w:r>
      <w:r w:rsidRPr="004074AA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4074AA" w:rsidRPr="004074AA">
        <w:rPr>
          <w:rFonts w:ascii="Times New Roman" w:hAnsi="Times New Roman" w:cs="Times New Roman"/>
          <w:sz w:val="20"/>
          <w:szCs w:val="20"/>
        </w:rPr>
        <w:t>7,8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%) Kohila Gümnaasiumis on kasvanud õpilaste arv </w:t>
      </w:r>
      <w:r w:rsidR="004074AA" w:rsidRPr="004074AA">
        <w:rPr>
          <w:rFonts w:ascii="Times New Roman" w:hAnsi="Times New Roman" w:cs="Times New Roman"/>
          <w:sz w:val="20"/>
          <w:szCs w:val="20"/>
        </w:rPr>
        <w:t>45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võrra</w:t>
      </w:r>
      <w:r w:rsidR="004074AA" w:rsidRPr="004074AA">
        <w:rPr>
          <w:rFonts w:ascii="Times New Roman" w:hAnsi="Times New Roman" w:cs="Times New Roman"/>
          <w:sz w:val="20"/>
          <w:szCs w:val="20"/>
        </w:rPr>
        <w:t>,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sellega seoses ka õppetegevusega seotud majandamiskulud</w:t>
      </w:r>
      <w:r w:rsidR="004074AA" w:rsidRPr="004074AA">
        <w:rPr>
          <w:rFonts w:ascii="Times New Roman" w:hAnsi="Times New Roman" w:cs="Times New Roman"/>
          <w:sz w:val="20"/>
          <w:szCs w:val="20"/>
        </w:rPr>
        <w:t>.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137B" w:rsidRPr="004074AA" w:rsidRDefault="00F143C6" w:rsidP="00D3150E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4AA">
        <w:rPr>
          <w:rFonts w:ascii="Times New Roman" w:hAnsi="Times New Roman" w:cs="Times New Roman"/>
          <w:b/>
          <w:sz w:val="20"/>
          <w:szCs w:val="20"/>
        </w:rPr>
        <w:t>Personalikulud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4074AA" w:rsidRPr="004074AA">
        <w:rPr>
          <w:rFonts w:ascii="Times New Roman" w:hAnsi="Times New Roman" w:cs="Times New Roman"/>
          <w:sz w:val="20"/>
          <w:szCs w:val="20"/>
        </w:rPr>
        <w:t>3,5</w:t>
      </w:r>
      <w:r w:rsidRPr="004074AA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4074AA" w:rsidRPr="004074AA">
        <w:rPr>
          <w:rFonts w:ascii="Times New Roman" w:hAnsi="Times New Roman" w:cs="Times New Roman"/>
          <w:sz w:val="20"/>
          <w:szCs w:val="20"/>
        </w:rPr>
        <w:t>26,2</w:t>
      </w:r>
      <w:r w:rsidRPr="004074AA">
        <w:rPr>
          <w:rFonts w:ascii="Times New Roman" w:hAnsi="Times New Roman" w:cs="Times New Roman"/>
          <w:sz w:val="20"/>
          <w:szCs w:val="20"/>
        </w:rPr>
        <w:t>%)</w:t>
      </w:r>
      <w:r w:rsidR="00857490" w:rsidRPr="004074AA">
        <w:rPr>
          <w:rFonts w:ascii="Times New Roman" w:hAnsi="Times New Roman" w:cs="Times New Roman"/>
          <w:sz w:val="20"/>
          <w:szCs w:val="20"/>
        </w:rPr>
        <w:t>, tõus on seotud pedagoogide ja teiste töötajate palgatõusuga nii gümnaasiumis kui ka lasteaedades, samuti alampalga tõusuga, mis on võrreldes 201</w:t>
      </w:r>
      <w:r w:rsidR="004074AA" w:rsidRPr="004074AA">
        <w:rPr>
          <w:rFonts w:ascii="Times New Roman" w:hAnsi="Times New Roman" w:cs="Times New Roman"/>
          <w:sz w:val="20"/>
          <w:szCs w:val="20"/>
        </w:rPr>
        <w:t>6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. aastaga </w:t>
      </w:r>
      <w:r w:rsidR="00DA00D5" w:rsidRPr="004074AA">
        <w:rPr>
          <w:rFonts w:ascii="Times New Roman" w:hAnsi="Times New Roman" w:cs="Times New Roman"/>
          <w:sz w:val="20"/>
          <w:szCs w:val="20"/>
        </w:rPr>
        <w:t>+</w:t>
      </w:r>
      <w:r w:rsidR="004074AA" w:rsidRPr="004074AA">
        <w:rPr>
          <w:rFonts w:ascii="Times New Roman" w:hAnsi="Times New Roman" w:cs="Times New Roman"/>
          <w:sz w:val="20"/>
          <w:szCs w:val="20"/>
        </w:rPr>
        <w:t>9,3</w:t>
      </w:r>
      <w:r w:rsidR="00857490" w:rsidRPr="004074AA">
        <w:rPr>
          <w:rFonts w:ascii="Times New Roman" w:hAnsi="Times New Roman" w:cs="Times New Roman"/>
          <w:sz w:val="20"/>
          <w:szCs w:val="20"/>
        </w:rPr>
        <w:t>%.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4074AA" w:rsidRPr="004074AA">
        <w:rPr>
          <w:rFonts w:ascii="Times New Roman" w:hAnsi="Times New Roman" w:cs="Times New Roman"/>
          <w:sz w:val="20"/>
          <w:szCs w:val="20"/>
        </w:rPr>
        <w:t>Samuti koolituskeskuse toomisega hariduse valdkonda ja gümnaasiumi palgapäeva muutmisega.</w:t>
      </w:r>
    </w:p>
    <w:p w:rsidR="000632B5" w:rsidRPr="0045199E" w:rsidRDefault="000632B5" w:rsidP="005030C7">
      <w:pPr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7137B" w:rsidRPr="0071766E" w:rsidRDefault="00E7137B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01C">
        <w:rPr>
          <w:rFonts w:ascii="Times New Roman" w:hAnsi="Times New Roman" w:cs="Times New Roman"/>
          <w:b/>
          <w:sz w:val="20"/>
          <w:szCs w:val="20"/>
        </w:rPr>
        <w:t>Vaba aeg, kultuur ja religioon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E8001C" w:rsidRPr="00E8001C">
        <w:rPr>
          <w:rFonts w:ascii="Times New Roman" w:hAnsi="Times New Roman" w:cs="Times New Roman"/>
          <w:sz w:val="20"/>
          <w:szCs w:val="20"/>
        </w:rPr>
        <w:t>0,8</w:t>
      </w:r>
      <w:r w:rsidR="006966DF"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Pr="00E8001C">
        <w:rPr>
          <w:rFonts w:ascii="Times New Roman" w:hAnsi="Times New Roman" w:cs="Times New Roman"/>
          <w:sz w:val="20"/>
          <w:szCs w:val="20"/>
        </w:rPr>
        <w:t xml:space="preserve">miljonit eurot </w:t>
      </w:r>
      <w:r w:rsidR="004074AA" w:rsidRPr="00E8001C">
        <w:rPr>
          <w:rFonts w:ascii="Times New Roman" w:hAnsi="Times New Roman" w:cs="Times New Roman"/>
          <w:sz w:val="20"/>
          <w:szCs w:val="20"/>
        </w:rPr>
        <w:t>(-22,7</w:t>
      </w:r>
      <w:r w:rsidRPr="0071766E">
        <w:rPr>
          <w:rFonts w:ascii="Times New Roman" w:hAnsi="Times New Roman" w:cs="Times New Roman"/>
          <w:sz w:val="20"/>
          <w:szCs w:val="20"/>
        </w:rPr>
        <w:t xml:space="preserve">%), millest </w:t>
      </w:r>
      <w:r w:rsidR="00A73D01" w:rsidRPr="0071766E">
        <w:rPr>
          <w:rFonts w:ascii="Times New Roman" w:hAnsi="Times New Roman" w:cs="Times New Roman"/>
          <w:sz w:val="20"/>
          <w:szCs w:val="20"/>
        </w:rPr>
        <w:t>7</w:t>
      </w:r>
      <w:r w:rsidR="00E8001C" w:rsidRPr="0071766E">
        <w:rPr>
          <w:rFonts w:ascii="Times New Roman" w:hAnsi="Times New Roman" w:cs="Times New Roman"/>
          <w:sz w:val="20"/>
          <w:szCs w:val="20"/>
        </w:rPr>
        <w:t>3</w:t>
      </w:r>
      <w:r w:rsidRPr="0071766E">
        <w:rPr>
          <w:rFonts w:ascii="Times New Roman" w:hAnsi="Times New Roman" w:cs="Times New Roman"/>
          <w:sz w:val="20"/>
          <w:szCs w:val="20"/>
        </w:rPr>
        <w:t xml:space="preserve">% ehk </w:t>
      </w:r>
      <w:r w:rsidR="00A73D01" w:rsidRPr="0071766E">
        <w:rPr>
          <w:rFonts w:ascii="Times New Roman" w:hAnsi="Times New Roman" w:cs="Times New Roman"/>
          <w:sz w:val="20"/>
          <w:szCs w:val="20"/>
        </w:rPr>
        <w:t>0,</w:t>
      </w:r>
      <w:r w:rsidR="00E8001C" w:rsidRPr="0071766E">
        <w:rPr>
          <w:rFonts w:ascii="Times New Roman" w:hAnsi="Times New Roman" w:cs="Times New Roman"/>
          <w:sz w:val="20"/>
          <w:szCs w:val="20"/>
        </w:rPr>
        <w:t>6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 xml:space="preserve">miljonit eurot moodustavad </w:t>
      </w:r>
      <w:r w:rsidR="00A73D01" w:rsidRPr="0071766E">
        <w:rPr>
          <w:rFonts w:ascii="Times New Roman" w:hAnsi="Times New Roman" w:cs="Times New Roman"/>
          <w:sz w:val="20"/>
          <w:szCs w:val="20"/>
        </w:rPr>
        <w:t>kultuuriasutuste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(spordikompleksi, </w:t>
      </w:r>
      <w:r w:rsidRPr="0071766E">
        <w:rPr>
          <w:rFonts w:ascii="Times New Roman" w:hAnsi="Times New Roman" w:cs="Times New Roman"/>
          <w:sz w:val="20"/>
          <w:szCs w:val="20"/>
        </w:rPr>
        <w:t>raamatukogude,</w:t>
      </w:r>
      <w:r w:rsidR="006966DF" w:rsidRPr="0071766E">
        <w:rPr>
          <w:rFonts w:ascii="Times New Roman" w:hAnsi="Times New Roman" w:cs="Times New Roman"/>
          <w:sz w:val="20"/>
          <w:szCs w:val="20"/>
        </w:rPr>
        <w:t xml:space="preserve"> rahvamaja</w:t>
      </w:r>
      <w:r w:rsidRPr="0071766E">
        <w:rPr>
          <w:rFonts w:ascii="Times New Roman" w:hAnsi="Times New Roman" w:cs="Times New Roman"/>
          <w:sz w:val="20"/>
          <w:szCs w:val="20"/>
        </w:rPr>
        <w:t>maja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>noortekeskuste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>muuseumi)</w:t>
      </w:r>
      <w:r w:rsidR="00E8001C" w:rsidRPr="0071766E">
        <w:rPr>
          <w:rFonts w:ascii="Times New Roman" w:hAnsi="Times New Roman" w:cs="Times New Roman"/>
          <w:sz w:val="20"/>
          <w:szCs w:val="20"/>
        </w:rPr>
        <w:t>,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info ja kultuurihaldusega seotud </w:t>
      </w:r>
      <w:r w:rsidRPr="0071766E">
        <w:rPr>
          <w:rFonts w:ascii="Times New Roman" w:hAnsi="Times New Roman" w:cs="Times New Roman"/>
          <w:sz w:val="20"/>
          <w:szCs w:val="20"/>
        </w:rPr>
        <w:t>tegevuskulud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ning </w:t>
      </w:r>
      <w:r w:rsidR="00E8001C" w:rsidRPr="0071766E">
        <w:rPr>
          <w:rFonts w:ascii="Times New Roman" w:hAnsi="Times New Roman" w:cs="Times New Roman"/>
          <w:sz w:val="20"/>
          <w:szCs w:val="20"/>
        </w:rPr>
        <w:t>27</w:t>
      </w:r>
      <w:r w:rsidR="00A73D01" w:rsidRPr="0071766E">
        <w:rPr>
          <w:rFonts w:ascii="Times New Roman" w:hAnsi="Times New Roman" w:cs="Times New Roman"/>
          <w:sz w:val="20"/>
          <w:szCs w:val="20"/>
        </w:rPr>
        <w:t>% spordi ja vabaajategevusega seotud kulud</w:t>
      </w:r>
      <w:r w:rsidRPr="0071766E">
        <w:rPr>
          <w:rFonts w:ascii="Times New Roman" w:hAnsi="Times New Roman" w:cs="Times New Roman"/>
          <w:sz w:val="20"/>
          <w:szCs w:val="20"/>
        </w:rPr>
        <w:t>;</w:t>
      </w:r>
    </w:p>
    <w:p w:rsidR="000632B5" w:rsidRPr="0071766E" w:rsidRDefault="000632B5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66E">
        <w:rPr>
          <w:rFonts w:ascii="Times New Roman" w:hAnsi="Times New Roman" w:cs="Times New Roman"/>
          <w:b/>
          <w:sz w:val="20"/>
          <w:szCs w:val="20"/>
        </w:rPr>
        <w:t>Sotsiaalne kaitse</w:t>
      </w:r>
      <w:r w:rsidRPr="0071766E">
        <w:rPr>
          <w:rFonts w:ascii="Times New Roman" w:hAnsi="Times New Roman" w:cs="Times New Roman"/>
          <w:sz w:val="20"/>
          <w:szCs w:val="20"/>
        </w:rPr>
        <w:t xml:space="preserve"> 0,6 miljonit eurot, millest </w:t>
      </w:r>
      <w:r w:rsidR="0071766E" w:rsidRPr="0071766E">
        <w:rPr>
          <w:rFonts w:ascii="Times New Roman" w:hAnsi="Times New Roman" w:cs="Times New Roman"/>
          <w:sz w:val="20"/>
          <w:szCs w:val="20"/>
        </w:rPr>
        <w:t>28</w:t>
      </w:r>
      <w:r w:rsidRPr="0071766E">
        <w:rPr>
          <w:rFonts w:ascii="Times New Roman" w:hAnsi="Times New Roman" w:cs="Times New Roman"/>
          <w:sz w:val="20"/>
          <w:szCs w:val="20"/>
        </w:rPr>
        <w:t>% ehk 0,</w:t>
      </w:r>
      <w:r w:rsidR="003800FF" w:rsidRPr="0071766E">
        <w:rPr>
          <w:rFonts w:ascii="Times New Roman" w:hAnsi="Times New Roman" w:cs="Times New Roman"/>
          <w:sz w:val="20"/>
          <w:szCs w:val="20"/>
        </w:rPr>
        <w:t>1</w:t>
      </w:r>
      <w:r w:rsidR="0071766E" w:rsidRPr="0071766E">
        <w:rPr>
          <w:rFonts w:ascii="Times New Roman" w:hAnsi="Times New Roman" w:cs="Times New Roman"/>
          <w:sz w:val="20"/>
          <w:szCs w:val="20"/>
        </w:rPr>
        <w:t xml:space="preserve">8 </w:t>
      </w:r>
      <w:r w:rsidRPr="0071766E">
        <w:rPr>
          <w:rFonts w:ascii="Times New Roman" w:hAnsi="Times New Roman" w:cs="Times New Roman"/>
          <w:sz w:val="20"/>
          <w:szCs w:val="20"/>
        </w:rPr>
        <w:t>miljonit eurot (+</w:t>
      </w:r>
      <w:r w:rsidR="0071766E" w:rsidRPr="0071766E">
        <w:rPr>
          <w:rFonts w:ascii="Times New Roman" w:hAnsi="Times New Roman" w:cs="Times New Roman"/>
          <w:sz w:val="20"/>
          <w:szCs w:val="20"/>
        </w:rPr>
        <w:t>23,2</w:t>
      </w:r>
      <w:r w:rsidRPr="0071766E">
        <w:rPr>
          <w:rFonts w:ascii="Times New Roman" w:hAnsi="Times New Roman" w:cs="Times New Roman"/>
          <w:sz w:val="20"/>
          <w:szCs w:val="20"/>
        </w:rPr>
        <w:t>%) suunatakse vanurite ja puudega isikute hooldekodude kohamaksu tasumiseks</w:t>
      </w:r>
      <w:r w:rsidR="003800FF" w:rsidRPr="0071766E">
        <w:rPr>
          <w:rFonts w:ascii="Times New Roman" w:hAnsi="Times New Roman" w:cs="Times New Roman"/>
          <w:sz w:val="20"/>
          <w:szCs w:val="20"/>
        </w:rPr>
        <w:t xml:space="preserve"> ja muudeks kuludeks, 3</w:t>
      </w:r>
      <w:r w:rsidR="0071766E" w:rsidRPr="0071766E">
        <w:rPr>
          <w:rFonts w:ascii="Times New Roman" w:hAnsi="Times New Roman" w:cs="Times New Roman"/>
          <w:sz w:val="20"/>
          <w:szCs w:val="20"/>
        </w:rPr>
        <w:t>5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0,2 miljonit eurot (+</w:t>
      </w:r>
      <w:r w:rsidR="0071766E" w:rsidRPr="0071766E">
        <w:rPr>
          <w:rFonts w:ascii="Times New Roman" w:hAnsi="Times New Roman" w:cs="Times New Roman"/>
          <w:sz w:val="20"/>
          <w:szCs w:val="20"/>
        </w:rPr>
        <w:t>13,7</w:t>
      </w:r>
      <w:r w:rsidR="003800FF" w:rsidRPr="0071766E">
        <w:rPr>
          <w:rFonts w:ascii="Times New Roman" w:hAnsi="Times New Roman" w:cs="Times New Roman"/>
          <w:sz w:val="20"/>
          <w:szCs w:val="20"/>
        </w:rPr>
        <w:t>%) perede toetuseks, sh laste päevahoiutoetused, 2</w:t>
      </w:r>
      <w:r w:rsidR="0071766E" w:rsidRPr="0071766E">
        <w:rPr>
          <w:rFonts w:ascii="Times New Roman" w:hAnsi="Times New Roman" w:cs="Times New Roman"/>
          <w:sz w:val="20"/>
          <w:szCs w:val="20"/>
        </w:rPr>
        <w:t>7</w:t>
      </w:r>
      <w:r w:rsidR="003800FF" w:rsidRPr="0071766E">
        <w:rPr>
          <w:rFonts w:ascii="Times New Roman" w:hAnsi="Times New Roman" w:cs="Times New Roman"/>
          <w:sz w:val="20"/>
          <w:szCs w:val="20"/>
        </w:rPr>
        <w:t>% ehk 0,18 miljonit eurot (+</w:t>
      </w:r>
      <w:r w:rsidR="0071766E" w:rsidRPr="0071766E">
        <w:rPr>
          <w:rFonts w:ascii="Times New Roman" w:hAnsi="Times New Roman" w:cs="Times New Roman"/>
          <w:sz w:val="20"/>
          <w:szCs w:val="20"/>
        </w:rPr>
        <w:t>7,9</w:t>
      </w:r>
      <w:r w:rsidR="003800FF" w:rsidRPr="0071766E">
        <w:rPr>
          <w:rFonts w:ascii="Times New Roman" w:hAnsi="Times New Roman" w:cs="Times New Roman"/>
          <w:sz w:val="20"/>
          <w:szCs w:val="20"/>
        </w:rPr>
        <w:t>%) riiklikuks toimetuleku- ja täiendavateks toetusteks riskirühmadele</w:t>
      </w:r>
      <w:r w:rsidR="0071766E">
        <w:rPr>
          <w:rFonts w:ascii="Times New Roman" w:hAnsi="Times New Roman" w:cs="Times New Roman"/>
          <w:sz w:val="20"/>
          <w:szCs w:val="20"/>
        </w:rPr>
        <w:t>.</w:t>
      </w:r>
    </w:p>
    <w:p w:rsidR="00F143C6" w:rsidRPr="0045199E" w:rsidRDefault="00F143C6" w:rsidP="005030C7">
      <w:pPr>
        <w:pStyle w:val="Loendilik"/>
        <w:ind w:left="180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143C6" w:rsidRPr="00D60914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sz w:val="20"/>
          <w:szCs w:val="20"/>
        </w:rPr>
        <w:t xml:space="preserve">Ülejäänud </w:t>
      </w:r>
      <w:r w:rsidR="003800FF" w:rsidRPr="00D60914">
        <w:rPr>
          <w:rFonts w:ascii="Times New Roman" w:hAnsi="Times New Roman" w:cs="Times New Roman"/>
          <w:sz w:val="20"/>
          <w:szCs w:val="20"/>
        </w:rPr>
        <w:t>2</w:t>
      </w:r>
      <w:r w:rsidR="00D60914" w:rsidRPr="00D60914">
        <w:rPr>
          <w:rFonts w:ascii="Times New Roman" w:hAnsi="Times New Roman" w:cs="Times New Roman"/>
          <w:sz w:val="20"/>
          <w:szCs w:val="20"/>
        </w:rPr>
        <w:t>1</w:t>
      </w:r>
      <w:r w:rsidRPr="00D60914">
        <w:rPr>
          <w:rFonts w:ascii="Times New Roman" w:hAnsi="Times New Roman" w:cs="Times New Roman"/>
          <w:sz w:val="20"/>
          <w:szCs w:val="20"/>
        </w:rPr>
        <w:t xml:space="preserve">% põhitegevuse kuludest ehk </w:t>
      </w:r>
      <w:r w:rsidR="003800FF" w:rsidRPr="00D60914">
        <w:rPr>
          <w:rFonts w:ascii="Times New Roman" w:hAnsi="Times New Roman" w:cs="Times New Roman"/>
          <w:sz w:val="20"/>
          <w:szCs w:val="20"/>
        </w:rPr>
        <w:t>1</w:t>
      </w:r>
      <w:r w:rsidRPr="00D60914">
        <w:rPr>
          <w:rFonts w:ascii="Times New Roman" w:hAnsi="Times New Roman" w:cs="Times New Roman"/>
          <w:sz w:val="20"/>
          <w:szCs w:val="20"/>
        </w:rPr>
        <w:t>,</w:t>
      </w:r>
      <w:r w:rsidR="00D60914" w:rsidRPr="00D60914">
        <w:rPr>
          <w:rFonts w:ascii="Times New Roman" w:hAnsi="Times New Roman" w:cs="Times New Roman"/>
          <w:sz w:val="20"/>
          <w:szCs w:val="20"/>
        </w:rPr>
        <w:t>7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D60914" w:rsidRPr="00D60914">
        <w:rPr>
          <w:rFonts w:ascii="Times New Roman" w:hAnsi="Times New Roman" w:cs="Times New Roman"/>
          <w:sz w:val="20"/>
          <w:szCs w:val="20"/>
        </w:rPr>
        <w:t>30,2</w:t>
      </w:r>
      <w:r w:rsidRPr="00D60914">
        <w:rPr>
          <w:rFonts w:ascii="Times New Roman" w:hAnsi="Times New Roman" w:cs="Times New Roman"/>
          <w:sz w:val="20"/>
          <w:szCs w:val="20"/>
        </w:rPr>
        <w:t xml:space="preserve">%) jaguneb </w:t>
      </w:r>
      <w:r w:rsidR="003800FF" w:rsidRPr="00D60914">
        <w:rPr>
          <w:rFonts w:ascii="Times New Roman" w:hAnsi="Times New Roman" w:cs="Times New Roman"/>
          <w:sz w:val="20"/>
          <w:szCs w:val="20"/>
        </w:rPr>
        <w:t>kuue</w:t>
      </w:r>
      <w:r w:rsidRPr="00D60914">
        <w:rPr>
          <w:rFonts w:ascii="Times New Roman" w:hAnsi="Times New Roman" w:cs="Times New Roman"/>
          <w:sz w:val="20"/>
          <w:szCs w:val="20"/>
        </w:rPr>
        <w:t xml:space="preserve"> valdkonna vahel järgmiselt:</w:t>
      </w:r>
    </w:p>
    <w:p w:rsidR="00F143C6" w:rsidRPr="00D60914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b/>
          <w:sz w:val="20"/>
          <w:szCs w:val="20"/>
        </w:rPr>
        <w:t>Majandus</w:t>
      </w:r>
      <w:r w:rsidR="003800FF" w:rsidRPr="00D60914">
        <w:rPr>
          <w:rFonts w:ascii="Times New Roman" w:hAnsi="Times New Roman" w:cs="Times New Roman"/>
          <w:sz w:val="20"/>
          <w:szCs w:val="20"/>
        </w:rPr>
        <w:t xml:space="preserve"> 0</w:t>
      </w:r>
      <w:r w:rsidRPr="00D60914">
        <w:rPr>
          <w:rFonts w:ascii="Times New Roman" w:hAnsi="Times New Roman" w:cs="Times New Roman"/>
          <w:sz w:val="20"/>
          <w:szCs w:val="20"/>
        </w:rPr>
        <w:t xml:space="preserve">,5 miljonit eurot, millest </w:t>
      </w:r>
      <w:r w:rsidR="00D60914" w:rsidRPr="00D60914">
        <w:rPr>
          <w:rFonts w:ascii="Times New Roman" w:hAnsi="Times New Roman" w:cs="Times New Roman"/>
          <w:sz w:val="20"/>
          <w:szCs w:val="20"/>
        </w:rPr>
        <w:t>45</w:t>
      </w:r>
      <w:r w:rsidRPr="00D60914">
        <w:rPr>
          <w:rFonts w:ascii="Times New Roman" w:hAnsi="Times New Roman" w:cs="Times New Roman"/>
          <w:sz w:val="20"/>
          <w:szCs w:val="20"/>
        </w:rPr>
        <w:t xml:space="preserve">% ehk </w:t>
      </w:r>
      <w:r w:rsidR="00327BC1" w:rsidRPr="00D60914">
        <w:rPr>
          <w:rFonts w:ascii="Times New Roman" w:hAnsi="Times New Roman" w:cs="Times New Roman"/>
          <w:sz w:val="20"/>
          <w:szCs w:val="20"/>
        </w:rPr>
        <w:t>0,</w:t>
      </w:r>
      <w:r w:rsidR="00D60914" w:rsidRPr="00D60914">
        <w:rPr>
          <w:rFonts w:ascii="Times New Roman" w:hAnsi="Times New Roman" w:cs="Times New Roman"/>
          <w:sz w:val="20"/>
          <w:szCs w:val="20"/>
        </w:rPr>
        <w:t>2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327BC1" w:rsidRPr="00D60914">
        <w:rPr>
          <w:rFonts w:ascii="Times New Roman" w:hAnsi="Times New Roman" w:cs="Times New Roman"/>
          <w:sz w:val="20"/>
          <w:szCs w:val="20"/>
        </w:rPr>
        <w:t xml:space="preserve"> </w:t>
      </w:r>
      <w:r w:rsidR="00E45EEB">
        <w:rPr>
          <w:rFonts w:ascii="Times New Roman" w:hAnsi="Times New Roman" w:cs="Times New Roman"/>
          <w:sz w:val="20"/>
          <w:szCs w:val="20"/>
        </w:rPr>
        <w:t xml:space="preserve">(+19,7%) </w:t>
      </w:r>
      <w:r w:rsidRPr="00D60914">
        <w:rPr>
          <w:rFonts w:ascii="Times New Roman" w:hAnsi="Times New Roman" w:cs="Times New Roman"/>
          <w:sz w:val="20"/>
          <w:szCs w:val="20"/>
        </w:rPr>
        <w:t>moodustab teede ja tänavate korrashoid</w:t>
      </w:r>
      <w:r w:rsidR="00D60914" w:rsidRPr="00D60914">
        <w:rPr>
          <w:rFonts w:ascii="Times New Roman" w:hAnsi="Times New Roman" w:cs="Times New Roman"/>
          <w:sz w:val="20"/>
          <w:szCs w:val="20"/>
        </w:rPr>
        <w:t>. Lumekoristusega seotud tegevuse kulud on alates 2017. a keskkonna kaitse valdkonna juures</w:t>
      </w:r>
      <w:r w:rsidRPr="00D60914">
        <w:rPr>
          <w:rFonts w:ascii="Times New Roman" w:hAnsi="Times New Roman" w:cs="Times New Roman"/>
          <w:sz w:val="20"/>
          <w:szCs w:val="20"/>
        </w:rPr>
        <w:t>;</w:t>
      </w:r>
    </w:p>
    <w:p w:rsidR="00E45EEB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>Elamu- ja kommunaalmajandus</w:t>
      </w:r>
      <w:r w:rsidR="003800FF" w:rsidRPr="00E45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0FF" w:rsidRPr="00E45EEB">
        <w:rPr>
          <w:rFonts w:ascii="Times New Roman" w:hAnsi="Times New Roman" w:cs="Times New Roman"/>
          <w:sz w:val="20"/>
          <w:szCs w:val="20"/>
        </w:rPr>
        <w:t>moodustab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 2,4</w:t>
      </w:r>
      <w:r w:rsidR="003800FF" w:rsidRPr="00E45EEB">
        <w:rPr>
          <w:rFonts w:ascii="Times New Roman" w:hAnsi="Times New Roman" w:cs="Times New Roman"/>
          <w:sz w:val="20"/>
          <w:szCs w:val="20"/>
        </w:rPr>
        <w:t xml:space="preserve">% ehk </w:t>
      </w:r>
      <w:r w:rsidR="00177D94" w:rsidRPr="00E45EEB">
        <w:rPr>
          <w:rFonts w:ascii="Times New Roman" w:hAnsi="Times New Roman" w:cs="Times New Roman"/>
          <w:sz w:val="20"/>
          <w:szCs w:val="20"/>
        </w:rPr>
        <w:t>0,2 miljonit eurot (+</w:t>
      </w:r>
      <w:r w:rsidR="00E45EEB" w:rsidRPr="00E45EEB">
        <w:rPr>
          <w:rFonts w:ascii="Times New Roman" w:hAnsi="Times New Roman" w:cs="Times New Roman"/>
          <w:sz w:val="20"/>
          <w:szCs w:val="20"/>
        </w:rPr>
        <w:t>16,2</w:t>
      </w:r>
      <w:r w:rsidR="00177D94" w:rsidRPr="00E45EEB">
        <w:rPr>
          <w:rFonts w:ascii="Times New Roman" w:hAnsi="Times New Roman" w:cs="Times New Roman"/>
          <w:sz w:val="20"/>
          <w:szCs w:val="20"/>
        </w:rPr>
        <w:t xml:space="preserve">%). </w:t>
      </w:r>
      <w:r w:rsidR="00E45EEB">
        <w:rPr>
          <w:rFonts w:ascii="Times New Roman" w:hAnsi="Times New Roman" w:cs="Times New Roman"/>
          <w:sz w:val="20"/>
          <w:szCs w:val="20"/>
        </w:rPr>
        <w:t>Suurim kulu tänavavalgustuse ülalpidamisse ja hooldusesse.</w:t>
      </w:r>
    </w:p>
    <w:p w:rsidR="003800FF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 xml:space="preserve">Keskkonnakaitse kulud </w:t>
      </w:r>
      <w:r w:rsidRPr="00E45EEB">
        <w:rPr>
          <w:rFonts w:ascii="Times New Roman" w:hAnsi="Times New Roman" w:cs="Times New Roman"/>
          <w:sz w:val="20"/>
          <w:szCs w:val="20"/>
        </w:rPr>
        <w:t>0,</w:t>
      </w:r>
      <w:r w:rsidR="00E45EEB" w:rsidRPr="00E45EEB">
        <w:rPr>
          <w:rFonts w:ascii="Times New Roman" w:hAnsi="Times New Roman" w:cs="Times New Roman"/>
          <w:sz w:val="20"/>
          <w:szCs w:val="20"/>
        </w:rPr>
        <w:t>4</w:t>
      </w:r>
      <w:r w:rsidRPr="00E45EEB"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E45EEB" w:rsidRPr="00E45EEB">
        <w:rPr>
          <w:rFonts w:ascii="Times New Roman" w:hAnsi="Times New Roman" w:cs="Times New Roman"/>
          <w:sz w:val="20"/>
          <w:szCs w:val="20"/>
        </w:rPr>
        <w:t>4,7</w:t>
      </w:r>
      <w:r w:rsidRPr="00E45EEB">
        <w:rPr>
          <w:rFonts w:ascii="Times New Roman" w:hAnsi="Times New Roman" w:cs="Times New Roman"/>
          <w:sz w:val="20"/>
          <w:szCs w:val="20"/>
        </w:rPr>
        <w:t>% kuludest (+</w:t>
      </w:r>
      <w:r w:rsidR="00E45EEB" w:rsidRPr="00E45EEB">
        <w:rPr>
          <w:rFonts w:ascii="Times New Roman" w:hAnsi="Times New Roman" w:cs="Times New Roman"/>
          <w:sz w:val="20"/>
          <w:szCs w:val="20"/>
        </w:rPr>
        <w:t>92,8</w:t>
      </w:r>
      <w:r w:rsidRPr="00E45EEB">
        <w:rPr>
          <w:rFonts w:ascii="Times New Roman" w:hAnsi="Times New Roman" w:cs="Times New Roman"/>
          <w:sz w:val="20"/>
          <w:szCs w:val="20"/>
        </w:rPr>
        <w:t xml:space="preserve">%), suurim kulu </w:t>
      </w:r>
      <w:r w:rsidR="00E45EEB" w:rsidRPr="00E45EEB">
        <w:rPr>
          <w:rFonts w:ascii="Times New Roman" w:hAnsi="Times New Roman" w:cs="Times New Roman"/>
          <w:sz w:val="20"/>
          <w:szCs w:val="20"/>
        </w:rPr>
        <w:t>avalike alade puhastamisele, sh lumekoristus ja libeduse tõrje.</w:t>
      </w:r>
    </w:p>
    <w:p w:rsidR="00E541E7" w:rsidRPr="007622A1" w:rsidRDefault="00177D94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2A1">
        <w:rPr>
          <w:rFonts w:ascii="Times New Roman" w:hAnsi="Times New Roman" w:cs="Times New Roman"/>
          <w:b/>
          <w:sz w:val="20"/>
          <w:szCs w:val="20"/>
        </w:rPr>
        <w:t>Muud</w:t>
      </w:r>
      <w:r w:rsidRPr="007622A1">
        <w:rPr>
          <w:rFonts w:ascii="Times New Roman" w:hAnsi="Times New Roman" w:cs="Times New Roman"/>
          <w:sz w:val="20"/>
          <w:szCs w:val="20"/>
        </w:rPr>
        <w:t xml:space="preserve"> ehk 0,</w:t>
      </w:r>
      <w:r w:rsidR="00E541E7" w:rsidRPr="007622A1">
        <w:rPr>
          <w:rFonts w:ascii="Times New Roman" w:hAnsi="Times New Roman" w:cs="Times New Roman"/>
          <w:sz w:val="20"/>
          <w:szCs w:val="20"/>
        </w:rPr>
        <w:t>6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7622A1" w:rsidRPr="007622A1">
        <w:rPr>
          <w:rFonts w:ascii="Times New Roman" w:hAnsi="Times New Roman" w:cs="Times New Roman"/>
          <w:sz w:val="20"/>
          <w:szCs w:val="20"/>
        </w:rPr>
        <w:t>16,6</w:t>
      </w:r>
      <w:r w:rsidRPr="007622A1">
        <w:rPr>
          <w:rFonts w:ascii="Times New Roman" w:hAnsi="Times New Roman" w:cs="Times New Roman"/>
          <w:sz w:val="20"/>
          <w:szCs w:val="20"/>
        </w:rPr>
        <w:t>%) jaguneb vallavalitsuse hoone ja personalikulude (0,</w:t>
      </w:r>
      <w:r w:rsidR="00E541E7" w:rsidRPr="007622A1">
        <w:rPr>
          <w:rFonts w:ascii="Times New Roman" w:hAnsi="Times New Roman" w:cs="Times New Roman"/>
          <w:sz w:val="20"/>
          <w:szCs w:val="20"/>
        </w:rPr>
        <w:t>5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E541E7" w:rsidRPr="007622A1">
        <w:rPr>
          <w:rFonts w:ascii="Times New Roman" w:hAnsi="Times New Roman" w:cs="Times New Roman"/>
          <w:sz w:val="20"/>
          <w:szCs w:val="20"/>
        </w:rPr>
        <w:t>, avalikule korrale ja tervishoiule.</w:t>
      </w:r>
    </w:p>
    <w:p w:rsidR="00177D94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</w:t>
      </w:r>
      <w:r w:rsidR="00E078DC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rvfond</w:t>
      </w:r>
      <w:r w:rsidR="00E078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78DC">
        <w:rPr>
          <w:rFonts w:ascii="Times New Roman" w:hAnsi="Times New Roman" w:cs="Times New Roman"/>
          <w:sz w:val="20"/>
          <w:szCs w:val="20"/>
        </w:rPr>
        <w:t>millest valitsus teeb eraldisi ettenägematuteks kuludeks,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41E7">
        <w:rPr>
          <w:rFonts w:ascii="Times New Roman" w:hAnsi="Times New Roman" w:cs="Times New Roman"/>
          <w:sz w:val="20"/>
          <w:szCs w:val="20"/>
        </w:rPr>
        <w:t>on 0,1 miljonit eurot</w:t>
      </w:r>
      <w:r w:rsidR="00177D94" w:rsidRPr="00E541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 moodustab põhitegevuse kuludest 1,</w:t>
      </w:r>
      <w:r w:rsidR="00407E1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%.</w:t>
      </w:r>
    </w:p>
    <w:p w:rsidR="00F143C6" w:rsidRDefault="00F143C6" w:rsidP="005030C7">
      <w:pPr>
        <w:pStyle w:val="Loendili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Majandamis- ja personalikulud tervikuna moodustavad </w:t>
      </w:r>
      <w:r w:rsidR="00A74929">
        <w:rPr>
          <w:rFonts w:ascii="Times New Roman" w:hAnsi="Times New Roman" w:cs="Times New Roman"/>
          <w:sz w:val="20"/>
          <w:szCs w:val="20"/>
        </w:rPr>
        <w:t>põhitegevuse kuludest 90</w:t>
      </w:r>
      <w:r w:rsidR="00407E14">
        <w:rPr>
          <w:rFonts w:ascii="Times New Roman" w:hAnsi="Times New Roman" w:cs="Times New Roman"/>
          <w:sz w:val="20"/>
          <w:szCs w:val="20"/>
        </w:rPr>
        <w:t>,9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407E14">
        <w:rPr>
          <w:rFonts w:ascii="Times New Roman" w:hAnsi="Times New Roman" w:cs="Times New Roman"/>
          <w:sz w:val="20"/>
          <w:szCs w:val="20"/>
        </w:rPr>
        <w:t>7,3</w:t>
      </w:r>
      <w:r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74929">
        <w:rPr>
          <w:rFonts w:ascii="Times New Roman" w:hAnsi="Times New Roman" w:cs="Times New Roman"/>
          <w:sz w:val="20"/>
          <w:szCs w:val="20"/>
        </w:rPr>
        <w:t>kasva</w:t>
      </w:r>
      <w:r>
        <w:rPr>
          <w:rFonts w:ascii="Times New Roman" w:hAnsi="Times New Roman" w:cs="Times New Roman"/>
          <w:sz w:val="20"/>
          <w:szCs w:val="20"/>
        </w:rPr>
        <w:t xml:space="preserve">des </w:t>
      </w:r>
      <w:r w:rsidRPr="003B5893">
        <w:rPr>
          <w:rFonts w:ascii="Times New Roman" w:hAnsi="Times New Roman" w:cs="Times New Roman"/>
          <w:sz w:val="20"/>
          <w:szCs w:val="20"/>
        </w:rPr>
        <w:t>1</w:t>
      </w:r>
      <w:r w:rsidR="003B5893" w:rsidRPr="003B5893">
        <w:rPr>
          <w:rFonts w:ascii="Times New Roman" w:hAnsi="Times New Roman" w:cs="Times New Roman"/>
          <w:sz w:val="20"/>
          <w:szCs w:val="20"/>
        </w:rPr>
        <w:t>6</w:t>
      </w:r>
      <w:r w:rsidRPr="003B5893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. Antavad toetused moodusta</w:t>
      </w:r>
      <w:r w:rsidR="00A74929">
        <w:rPr>
          <w:rFonts w:ascii="Times New Roman" w:hAnsi="Times New Roman" w:cs="Times New Roman"/>
          <w:sz w:val="20"/>
          <w:szCs w:val="20"/>
        </w:rPr>
        <w:t>vad 8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A7492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miljonit eurot, kasvades </w:t>
      </w:r>
      <w:r w:rsidR="00407E14">
        <w:rPr>
          <w:rFonts w:ascii="Times New Roman" w:hAnsi="Times New Roman" w:cs="Times New Roman"/>
          <w:sz w:val="20"/>
          <w:szCs w:val="20"/>
        </w:rPr>
        <w:t>9,6</w:t>
      </w:r>
      <w:r>
        <w:rPr>
          <w:rFonts w:ascii="Times New Roman" w:hAnsi="Times New Roman" w:cs="Times New Roman"/>
          <w:sz w:val="20"/>
          <w:szCs w:val="20"/>
        </w:rPr>
        <w:t xml:space="preserve">%. </w:t>
      </w:r>
      <w:r w:rsidR="00A74929">
        <w:rPr>
          <w:rFonts w:ascii="Times New Roman" w:hAnsi="Times New Roman" w:cs="Times New Roman"/>
          <w:sz w:val="20"/>
          <w:szCs w:val="20"/>
        </w:rPr>
        <w:t>Suurim kasv</w:t>
      </w:r>
      <w:r w:rsidR="00407E14">
        <w:rPr>
          <w:rFonts w:ascii="Times New Roman" w:hAnsi="Times New Roman" w:cs="Times New Roman"/>
          <w:sz w:val="20"/>
          <w:szCs w:val="20"/>
        </w:rPr>
        <w:t xml:space="preserve"> on sporditegevuse toetustel.</w:t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B05C61" w:rsidRDefault="00726E18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et-EE"/>
        </w:rPr>
        <w:lastRenderedPageBreak/>
        <w:drawing>
          <wp:inline distT="0" distB="0" distL="0" distR="0" wp14:anchorId="7308B25C" wp14:editId="2FAF6D08">
            <wp:extent cx="6543675" cy="4410075"/>
            <wp:effectExtent l="0" t="0" r="9525" b="95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:rsidR="00F143C6" w:rsidRDefault="00F143C6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Joonis 1. Põhitegevuse kulud majandusliku sisu alusel </w:t>
      </w:r>
      <w:proofErr w:type="spellStart"/>
      <w:r>
        <w:rPr>
          <w:rFonts w:ascii="Times New Roman" w:hAnsi="Times New Roman" w:cs="Times New Roman"/>
        </w:rPr>
        <w:t>valdkonniti</w:t>
      </w:r>
      <w:proofErr w:type="spellEnd"/>
      <w:r>
        <w:rPr>
          <w:rFonts w:ascii="Times New Roman" w:hAnsi="Times New Roman" w:cs="Times New Roman"/>
        </w:rPr>
        <w:t xml:space="preserve"> 201</w:t>
      </w:r>
      <w:r w:rsidR="00407E1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E30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aastal võrreldes 201</w:t>
      </w:r>
      <w:r w:rsidR="00407E1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30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aasta eelarve täitmisega (tuhat eurot)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Investeerimistegevus</w:t>
      </w:r>
    </w:p>
    <w:p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3B5893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 eelarves on planeeritud investeeringukulu</w:t>
      </w:r>
      <w:r w:rsidR="0047454A">
        <w:rPr>
          <w:rFonts w:ascii="Times New Roman" w:hAnsi="Times New Roman" w:cs="Times New Roman"/>
          <w:b/>
          <w:sz w:val="20"/>
          <w:szCs w:val="20"/>
        </w:rPr>
        <w:t>si</w:t>
      </w:r>
      <w:r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="003B5893">
        <w:rPr>
          <w:rFonts w:ascii="Times New Roman" w:hAnsi="Times New Roman" w:cs="Times New Roman"/>
          <w:b/>
          <w:sz w:val="20"/>
          <w:szCs w:val="20"/>
        </w:rPr>
        <w:t>3,6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mis on </w:t>
      </w:r>
      <w:r w:rsidR="003B5893">
        <w:rPr>
          <w:rFonts w:ascii="Times New Roman" w:hAnsi="Times New Roman" w:cs="Times New Roman"/>
          <w:b/>
          <w:sz w:val="20"/>
          <w:szCs w:val="20"/>
        </w:rPr>
        <w:t>2,7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05367A">
        <w:rPr>
          <w:rFonts w:ascii="Times New Roman" w:hAnsi="Times New Roman" w:cs="Times New Roman"/>
          <w:b/>
          <w:sz w:val="20"/>
          <w:szCs w:val="20"/>
        </w:rPr>
        <w:t>3 korda rohkem</w:t>
      </w:r>
      <w:r>
        <w:rPr>
          <w:rFonts w:ascii="Times New Roman" w:hAnsi="Times New Roman" w:cs="Times New Roman"/>
          <w:b/>
          <w:sz w:val="20"/>
          <w:szCs w:val="20"/>
        </w:rPr>
        <w:t xml:space="preserve"> kui 201</w:t>
      </w:r>
      <w:r w:rsidR="003B5893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aastal.</w:t>
      </w:r>
    </w:p>
    <w:p w:rsidR="0047454A" w:rsidRDefault="0047454A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Investeeringud koosnevad:</w:t>
      </w:r>
    </w:p>
    <w:p w:rsidR="004A60A0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>Põhivara soetusest</w:t>
      </w:r>
      <w:r w:rsidRPr="003B5893">
        <w:rPr>
          <w:rFonts w:ascii="Times New Roman" w:hAnsi="Times New Roman" w:cs="Times New Roman"/>
          <w:sz w:val="20"/>
          <w:szCs w:val="20"/>
        </w:rPr>
        <w:t xml:space="preserve">, mis moodustab </w:t>
      </w:r>
      <w:r w:rsidR="003B5893">
        <w:rPr>
          <w:rFonts w:ascii="Times New Roman" w:hAnsi="Times New Roman" w:cs="Times New Roman"/>
          <w:sz w:val="20"/>
          <w:szCs w:val="20"/>
        </w:rPr>
        <w:t>99,9</w:t>
      </w:r>
      <w:r w:rsidR="0005367A" w:rsidRPr="003B5893">
        <w:rPr>
          <w:rFonts w:ascii="Times New Roman" w:hAnsi="Times New Roman" w:cs="Times New Roman"/>
          <w:sz w:val="20"/>
          <w:szCs w:val="20"/>
        </w:rPr>
        <w:t>%</w:t>
      </w:r>
      <w:r w:rsidRPr="003B5893">
        <w:rPr>
          <w:rFonts w:ascii="Times New Roman" w:hAnsi="Times New Roman" w:cs="Times New Roman"/>
          <w:sz w:val="20"/>
          <w:szCs w:val="20"/>
        </w:rPr>
        <w:t xml:space="preserve"> ehk </w:t>
      </w:r>
      <w:r w:rsidR="003B5893">
        <w:rPr>
          <w:rFonts w:ascii="Times New Roman" w:hAnsi="Times New Roman" w:cs="Times New Roman"/>
          <w:sz w:val="20"/>
          <w:szCs w:val="20"/>
        </w:rPr>
        <w:t>3,6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4A60A0" w:rsidRPr="003B58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43C6" w:rsidRPr="004A60A0" w:rsidRDefault="00F143C6" w:rsidP="005030C7">
      <w:pPr>
        <w:pStyle w:val="Loendilik"/>
        <w:ind w:left="1481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Suurimad investeeringuobjektid on: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 Gümnaasiumi juurdeehitus </w:t>
      </w:r>
      <w:r w:rsidR="003B5893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b/>
          <w:sz w:val="20"/>
          <w:szCs w:val="20"/>
        </w:rPr>
        <w:t>(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1,2 miljonit eurot 2018. a</w:t>
      </w:r>
      <w:r w:rsidR="00BF7F8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F143C6" w:rsidRPr="005D2F95" w:rsidRDefault="004A60A0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Kohila-Hageri-Sutlema kergtee </w:t>
      </w:r>
      <w:r w:rsidR="00BF7F88">
        <w:rPr>
          <w:rFonts w:ascii="Times New Roman" w:hAnsi="Times New Roman" w:cs="Times New Roman"/>
          <w:b/>
          <w:sz w:val="20"/>
          <w:szCs w:val="20"/>
        </w:rPr>
        <w:t>ehitus omaosalusega 0,1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>
        <w:rPr>
          <w:rFonts w:ascii="Times New Roman" w:hAnsi="Times New Roman" w:cs="Times New Roman"/>
          <w:b/>
          <w:sz w:val="20"/>
          <w:szCs w:val="20"/>
        </w:rPr>
        <w:t>, oodatav toetus 1,1 miljonit eurot</w:t>
      </w:r>
      <w:r w:rsidR="00F143C6" w:rsidRPr="005D2F95">
        <w:rPr>
          <w:rFonts w:ascii="Times New Roman" w:hAnsi="Times New Roman" w:cs="Times New Roman"/>
          <w:b/>
          <w:sz w:val="20"/>
          <w:szCs w:val="20"/>
        </w:rPr>
        <w:t>;</w:t>
      </w:r>
    </w:p>
    <w:p w:rsidR="00703B27" w:rsidRPr="005D2F95" w:rsidRDefault="003B5893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Tervisekeskuse renoveerimine (2017-2018) omaosalusega 0,7 miljonit eurot, oodatav toetus 0,6 miljonit eurot</w:t>
      </w:r>
      <w:r w:rsidR="00BF7F88">
        <w:rPr>
          <w:rFonts w:ascii="Times New Roman" w:hAnsi="Times New Roman" w:cs="Times New Roman"/>
          <w:b/>
          <w:sz w:val="20"/>
          <w:szCs w:val="20"/>
        </w:rPr>
        <w:t>.</w:t>
      </w:r>
    </w:p>
    <w:p w:rsidR="0005367A" w:rsidRPr="0005367A" w:rsidRDefault="0005367A" w:rsidP="005030C7">
      <w:pPr>
        <w:pStyle w:val="Loendilik"/>
        <w:ind w:left="2201"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 xml:space="preserve">Intressikuludest </w:t>
      </w:r>
      <w:r w:rsidRPr="003B5893">
        <w:rPr>
          <w:rFonts w:ascii="Times New Roman" w:hAnsi="Times New Roman" w:cs="Times New Roman"/>
          <w:sz w:val="20"/>
          <w:szCs w:val="20"/>
        </w:rPr>
        <w:t>0,</w:t>
      </w:r>
      <w:r w:rsidR="0005367A" w:rsidRPr="003B5893">
        <w:rPr>
          <w:rFonts w:ascii="Times New Roman" w:hAnsi="Times New Roman" w:cs="Times New Roman"/>
          <w:sz w:val="20"/>
          <w:szCs w:val="20"/>
        </w:rPr>
        <w:t>0</w:t>
      </w:r>
      <w:r w:rsidR="003B5893">
        <w:rPr>
          <w:rFonts w:ascii="Times New Roman" w:hAnsi="Times New Roman" w:cs="Times New Roman"/>
          <w:sz w:val="20"/>
          <w:szCs w:val="20"/>
        </w:rPr>
        <w:t>4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5D2F95" w:rsidRPr="003B5893">
        <w:rPr>
          <w:rFonts w:ascii="Times New Roman" w:hAnsi="Times New Roman" w:cs="Times New Roman"/>
          <w:sz w:val="20"/>
          <w:szCs w:val="20"/>
        </w:rPr>
        <w:t>, mis on suurenenud seoses kavandatava investeeringulaenu võtmisega.</w:t>
      </w:r>
      <w:r w:rsidRPr="003B58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Investeeringuid finantseeritakse jooksva aasta eelarve tuludest (</w:t>
      </w:r>
      <w:r w:rsidR="008C4C94">
        <w:rPr>
          <w:rFonts w:ascii="Times New Roman" w:hAnsi="Times New Roman" w:cs="Times New Roman"/>
          <w:sz w:val="20"/>
          <w:szCs w:val="20"/>
        </w:rPr>
        <w:t>0,</w:t>
      </w:r>
      <w:r w:rsidR="007E5BB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7E5BBA">
        <w:rPr>
          <w:rFonts w:ascii="Times New Roman" w:hAnsi="Times New Roman" w:cs="Times New Roman"/>
          <w:sz w:val="20"/>
          <w:szCs w:val="20"/>
        </w:rPr>
        <w:t xml:space="preserve">investeerimistuludest (0,1 miljonit eurot), </w:t>
      </w:r>
      <w:r w:rsidR="008C4C94">
        <w:rPr>
          <w:rFonts w:ascii="Times New Roman" w:hAnsi="Times New Roman" w:cs="Times New Roman"/>
          <w:sz w:val="20"/>
          <w:szCs w:val="20"/>
        </w:rPr>
        <w:t>likviidsete varade arvelt (</w:t>
      </w:r>
      <w:r w:rsidR="00BF7F88">
        <w:rPr>
          <w:rFonts w:ascii="Times New Roman" w:hAnsi="Times New Roman" w:cs="Times New Roman"/>
          <w:sz w:val="20"/>
          <w:szCs w:val="20"/>
        </w:rPr>
        <w:t>1,2</w:t>
      </w:r>
      <w:r w:rsidR="00C97BEF">
        <w:rPr>
          <w:rFonts w:ascii="Times New Roman" w:hAnsi="Times New Roman" w:cs="Times New Roman"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sz w:val="20"/>
          <w:szCs w:val="20"/>
        </w:rPr>
        <w:t>miljonit eurot)</w:t>
      </w:r>
      <w:r>
        <w:rPr>
          <w:rFonts w:ascii="Times New Roman" w:hAnsi="Times New Roman" w:cs="Times New Roman"/>
          <w:sz w:val="20"/>
          <w:szCs w:val="20"/>
        </w:rPr>
        <w:t>, võetud uue laenu (</w:t>
      </w:r>
      <w:r w:rsidR="00BF7F8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miljonit eurot) ja toetuste </w:t>
      </w:r>
      <w:r w:rsidR="00362462">
        <w:rPr>
          <w:rFonts w:ascii="Times New Roman" w:hAnsi="Times New Roman" w:cs="Times New Roman"/>
          <w:sz w:val="20"/>
          <w:szCs w:val="20"/>
        </w:rPr>
        <w:t>arvelt, mis lisanduvad eelarvesse nende eraldamisel.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0A0" w:rsidRDefault="00D9261E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  <w:lang w:eastAsia="et-EE"/>
        </w:rPr>
        <w:lastRenderedPageBreak/>
        <w:drawing>
          <wp:inline distT="0" distB="0" distL="0" distR="0" wp14:anchorId="0A17510F" wp14:editId="34175B99">
            <wp:extent cx="6486525" cy="4124325"/>
            <wp:effectExtent l="0" t="0" r="9525" b="9525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11E" w:rsidRDefault="00F8111E" w:rsidP="00F8111E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Investeeringud valdkondade ja finantseerimisallikate kaupa (tuhat eurot)</w:t>
      </w:r>
    </w:p>
    <w:p w:rsidR="00385E96" w:rsidRDefault="00385E96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</w:p>
    <w:p w:rsidR="004A60A0" w:rsidRPr="004A60A0" w:rsidRDefault="004A60A0" w:rsidP="005030C7">
      <w:pPr>
        <w:pStyle w:val="Joonis"/>
        <w:contextualSpacing/>
        <w:rPr>
          <w:rFonts w:ascii="Times New Roman" w:hAnsi="Times New Roman" w:cs="Times New Roman"/>
          <w:b w:val="0"/>
          <w:color w:val="auto"/>
        </w:rPr>
      </w:pPr>
      <w:r w:rsidRPr="004A60A0">
        <w:rPr>
          <w:rFonts w:ascii="Times New Roman" w:hAnsi="Times New Roman" w:cs="Times New Roman"/>
          <w:b w:val="0"/>
          <w:color w:val="auto"/>
        </w:rPr>
        <w:t xml:space="preserve">Märkus: Toetuste summad </w:t>
      </w:r>
      <w:r w:rsidR="00D9261E">
        <w:rPr>
          <w:rFonts w:ascii="Times New Roman" w:hAnsi="Times New Roman" w:cs="Times New Roman"/>
          <w:b w:val="0"/>
          <w:color w:val="auto"/>
        </w:rPr>
        <w:t>l</w:t>
      </w:r>
      <w:r w:rsidRPr="004A60A0">
        <w:rPr>
          <w:rFonts w:ascii="Times New Roman" w:hAnsi="Times New Roman" w:cs="Times New Roman"/>
          <w:b w:val="0"/>
          <w:color w:val="auto"/>
        </w:rPr>
        <w:t xml:space="preserve">isatakse eelarvesse eraldamisel. </w:t>
      </w:r>
    </w:p>
    <w:p w:rsidR="00F143C6" w:rsidRDefault="00F143C6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Finantsseis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omafinantseerimisvõime </w:t>
      </w:r>
      <w:r>
        <w:rPr>
          <w:rFonts w:ascii="Times New Roman" w:hAnsi="Times New Roman" w:cs="Times New Roman"/>
          <w:sz w:val="20"/>
          <w:szCs w:val="20"/>
        </w:rPr>
        <w:t xml:space="preserve">ehk põhitegevuse tulude ja põhitegevuse kulude vahe on </w:t>
      </w:r>
      <w:r w:rsidR="007E5BBA">
        <w:rPr>
          <w:rFonts w:ascii="Times New Roman" w:hAnsi="Times New Roman" w:cs="Times New Roman"/>
          <w:sz w:val="20"/>
          <w:szCs w:val="20"/>
        </w:rPr>
        <w:t>0,5</w:t>
      </w:r>
      <w:r w:rsidR="00C97BE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miljonit eurot, millest tasutakse nii olemasolevaid laenumakseid </w:t>
      </w:r>
      <w:r>
        <w:rPr>
          <w:rFonts w:ascii="Times New Roman" w:hAnsi="Times New Roman" w:cs="Times New Roman"/>
          <w:i/>
          <w:sz w:val="20"/>
          <w:szCs w:val="20"/>
        </w:rPr>
        <w:t>(jooksva aasta laenumaksete põhiosa 0,</w:t>
      </w:r>
      <w:r w:rsidR="007E5BBA">
        <w:rPr>
          <w:rFonts w:ascii="Times New Roman" w:hAnsi="Times New Roman" w:cs="Times New Roman"/>
          <w:i/>
          <w:sz w:val="20"/>
          <w:szCs w:val="20"/>
        </w:rPr>
        <w:t>23</w:t>
      </w:r>
      <w:r>
        <w:rPr>
          <w:rFonts w:ascii="Times New Roman" w:hAnsi="Times New Roman" w:cs="Times New Roman"/>
          <w:i/>
          <w:sz w:val="20"/>
          <w:szCs w:val="20"/>
        </w:rPr>
        <w:t xml:space="preserve"> miljonit eurot ehk </w:t>
      </w:r>
      <w:r w:rsidR="007E5BBA">
        <w:rPr>
          <w:rFonts w:ascii="Times New Roman" w:hAnsi="Times New Roman" w:cs="Times New Roman"/>
          <w:i/>
          <w:sz w:val="20"/>
          <w:szCs w:val="20"/>
        </w:rPr>
        <w:t>41</w:t>
      </w:r>
      <w:r>
        <w:rPr>
          <w:rFonts w:ascii="Times New Roman" w:hAnsi="Times New Roman" w:cs="Times New Roman"/>
          <w:i/>
          <w:sz w:val="20"/>
          <w:szCs w:val="20"/>
        </w:rPr>
        <w:t>% põhitegevuse tulemist)</w:t>
      </w:r>
      <w:r>
        <w:rPr>
          <w:rFonts w:ascii="Times New Roman" w:hAnsi="Times New Roman" w:cs="Times New Roman"/>
          <w:sz w:val="20"/>
          <w:szCs w:val="20"/>
        </w:rPr>
        <w:t>, intressikulusid kui rahastatakse käimasolevaid investeeringuid. Eesmärk on seda taset hoida</w:t>
      </w:r>
      <w:r w:rsidR="009209CE">
        <w:rPr>
          <w:rFonts w:ascii="Times New Roman" w:hAnsi="Times New Roman" w:cs="Times New Roman"/>
          <w:sz w:val="20"/>
          <w:szCs w:val="20"/>
        </w:rPr>
        <w:t xml:space="preserve"> ja võimalusel suurendada</w:t>
      </w:r>
      <w:r>
        <w:rPr>
          <w:rFonts w:ascii="Times New Roman" w:hAnsi="Times New Roman" w:cs="Times New Roman"/>
          <w:sz w:val="20"/>
          <w:szCs w:val="20"/>
        </w:rPr>
        <w:t xml:space="preserve"> ka järgnevatel aastatel, et säilitada investeerimisvõimekus. </w:t>
      </w:r>
    </w:p>
    <w:p w:rsidR="00F143C6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netovõlakoormus </w:t>
      </w:r>
      <w:r>
        <w:rPr>
          <w:rFonts w:ascii="Times New Roman" w:hAnsi="Times New Roman" w:cs="Times New Roman"/>
          <w:sz w:val="20"/>
          <w:szCs w:val="20"/>
        </w:rPr>
        <w:t>(kohustused miinus likviidsed varad) suureneb 201</w:t>
      </w:r>
      <w:r w:rsidR="009209C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1D25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aasta lõpuks </w:t>
      </w:r>
      <w:r w:rsidR="009209CE">
        <w:rPr>
          <w:rFonts w:ascii="Times New Roman" w:hAnsi="Times New Roman" w:cs="Times New Roman"/>
          <w:sz w:val="20"/>
          <w:szCs w:val="20"/>
        </w:rPr>
        <w:t>50,4</w:t>
      </w:r>
      <w:r>
        <w:rPr>
          <w:rFonts w:ascii="Times New Roman" w:hAnsi="Times New Roman" w:cs="Times New Roman"/>
          <w:sz w:val="20"/>
          <w:szCs w:val="20"/>
        </w:rPr>
        <w:t>%-</w:t>
      </w:r>
      <w:proofErr w:type="spellStart"/>
      <w:r>
        <w:rPr>
          <w:rFonts w:ascii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põhitegevuse tuludest ehk </w:t>
      </w:r>
      <w:r w:rsidR="009209CE">
        <w:rPr>
          <w:rFonts w:ascii="Times New Roman" w:hAnsi="Times New Roman" w:cs="Times New Roman"/>
          <w:sz w:val="20"/>
          <w:szCs w:val="20"/>
        </w:rPr>
        <w:t>4</w:t>
      </w:r>
      <w:r w:rsidR="001D25DF">
        <w:rPr>
          <w:rFonts w:ascii="Times New Roman" w:hAnsi="Times New Roman" w:cs="Times New Roman"/>
          <w:sz w:val="20"/>
          <w:szCs w:val="20"/>
        </w:rPr>
        <w:t>,3</w:t>
      </w:r>
      <w:r>
        <w:rPr>
          <w:rFonts w:ascii="Times New Roman" w:hAnsi="Times New Roman" w:cs="Times New Roman"/>
          <w:sz w:val="20"/>
          <w:szCs w:val="20"/>
        </w:rPr>
        <w:t xml:space="preserve"> miljoni euroni. Seaduse kohaselt on valla ülempiiriks 6</w:t>
      </w:r>
      <w:r w:rsidR="001D25DF">
        <w:rPr>
          <w:rFonts w:ascii="Times New Roman" w:hAnsi="Times New Roman" w:cs="Times New Roman"/>
          <w:sz w:val="20"/>
          <w:szCs w:val="20"/>
        </w:rPr>
        <w:t>0</w:t>
      </w:r>
      <w:r w:rsidR="00692AA7">
        <w:rPr>
          <w:rFonts w:ascii="Times New Roman" w:hAnsi="Times New Roman" w:cs="Times New Roman"/>
          <w:sz w:val="20"/>
          <w:szCs w:val="20"/>
        </w:rPr>
        <w:t>%, mis tähendab, et on võimalus</w:t>
      </w:r>
      <w:r>
        <w:rPr>
          <w:rFonts w:ascii="Times New Roman" w:hAnsi="Times New Roman" w:cs="Times New Roman"/>
          <w:sz w:val="20"/>
          <w:szCs w:val="20"/>
        </w:rPr>
        <w:t xml:space="preserve"> täiendavalt laenu võtta</w:t>
      </w:r>
      <w:r w:rsidR="00692AA7">
        <w:rPr>
          <w:rFonts w:ascii="Times New Roman" w:hAnsi="Times New Roman" w:cs="Times New Roman"/>
          <w:sz w:val="20"/>
          <w:szCs w:val="20"/>
        </w:rPr>
        <w:t>, kuid tuleb töötada toetuste saamise nimel</w:t>
      </w:r>
      <w:r>
        <w:rPr>
          <w:rFonts w:ascii="Times New Roman" w:hAnsi="Times New Roman" w:cs="Times New Roman"/>
          <w:sz w:val="20"/>
          <w:szCs w:val="20"/>
        </w:rPr>
        <w:t xml:space="preserve"> ning </w:t>
      </w:r>
      <w:r w:rsidR="00692AA7">
        <w:rPr>
          <w:rFonts w:ascii="Times New Roman" w:hAnsi="Times New Roman" w:cs="Times New Roman"/>
          <w:sz w:val="20"/>
          <w:szCs w:val="20"/>
        </w:rPr>
        <w:t>säilitada või suurendada omafinantseerimisv</w:t>
      </w:r>
      <w:r>
        <w:rPr>
          <w:rFonts w:ascii="Times New Roman" w:hAnsi="Times New Roman" w:cs="Times New Roman"/>
          <w:sz w:val="20"/>
          <w:szCs w:val="20"/>
        </w:rPr>
        <w:t>õ</w:t>
      </w:r>
      <w:r w:rsidR="00692AA7">
        <w:rPr>
          <w:rFonts w:ascii="Times New Roman" w:hAnsi="Times New Roman" w:cs="Times New Roman"/>
          <w:sz w:val="20"/>
          <w:szCs w:val="20"/>
        </w:rPr>
        <w:t>imeku</w:t>
      </w:r>
      <w:r>
        <w:rPr>
          <w:rFonts w:ascii="Times New Roman" w:hAnsi="Times New Roman" w:cs="Times New Roman"/>
          <w:sz w:val="20"/>
          <w:szCs w:val="20"/>
        </w:rPr>
        <w:t>st.</w:t>
      </w: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</w:p>
    <w:p w:rsidR="00F143C6" w:rsidRDefault="00692AA7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likviidsete varade mahu kasvu ei ole</w:t>
      </w:r>
      <w:r w:rsidR="00F143C6">
        <w:rPr>
          <w:rFonts w:ascii="Times New Roman" w:hAnsi="Times New Roman" w:cs="Times New Roman"/>
          <w:sz w:val="20"/>
          <w:szCs w:val="20"/>
        </w:rPr>
        <w:t xml:space="preserve"> 201</w:t>
      </w:r>
      <w:r w:rsidR="009209CE">
        <w:rPr>
          <w:rFonts w:ascii="Times New Roman" w:hAnsi="Times New Roman" w:cs="Times New Roman"/>
          <w:sz w:val="20"/>
          <w:szCs w:val="20"/>
        </w:rPr>
        <w:t>7</w:t>
      </w:r>
      <w:r w:rsidR="00F143C6">
        <w:rPr>
          <w:rFonts w:ascii="Times New Roman" w:hAnsi="Times New Roman" w:cs="Times New Roman"/>
          <w:sz w:val="20"/>
          <w:szCs w:val="20"/>
        </w:rPr>
        <w:t xml:space="preserve">.aastal </w:t>
      </w:r>
      <w:r>
        <w:rPr>
          <w:rFonts w:ascii="Times New Roman" w:hAnsi="Times New Roman" w:cs="Times New Roman"/>
          <w:sz w:val="20"/>
          <w:szCs w:val="20"/>
        </w:rPr>
        <w:t>ette näha.</w:t>
      </w:r>
    </w:p>
    <w:p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43C6" w:rsidRPr="00685E8F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143C6" w:rsidRPr="00685E8F" w:rsidSect="0066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E9" w:rsidRDefault="009026E9" w:rsidP="00682013">
      <w:pPr>
        <w:spacing w:after="0" w:line="240" w:lineRule="auto"/>
      </w:pPr>
      <w:r>
        <w:separator/>
      </w:r>
    </w:p>
  </w:endnote>
  <w:endnote w:type="continuationSeparator" w:id="0">
    <w:p w:rsidR="009026E9" w:rsidRDefault="009026E9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E9" w:rsidRDefault="009026E9" w:rsidP="00682013">
      <w:pPr>
        <w:spacing w:after="0" w:line="240" w:lineRule="auto"/>
      </w:pPr>
      <w:r>
        <w:separator/>
      </w:r>
    </w:p>
  </w:footnote>
  <w:footnote w:type="continuationSeparator" w:id="0">
    <w:p w:rsidR="009026E9" w:rsidRDefault="009026E9" w:rsidP="00682013">
      <w:pPr>
        <w:spacing w:after="0" w:line="240" w:lineRule="auto"/>
      </w:pPr>
      <w:r>
        <w:continuationSeparator/>
      </w:r>
    </w:p>
  </w:footnote>
  <w:footnote w:id="1">
    <w:p w:rsidR="00514C14" w:rsidRDefault="00514C1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:rsidR="00682013" w:rsidRPr="00C4462B" w:rsidRDefault="00682013" w:rsidP="00682013">
      <w:pPr>
        <w:pStyle w:val="Allmrkusetekst"/>
        <w:rPr>
          <w:rFonts w:ascii="Times New Roman" w:hAnsi="Times New Roman" w:cs="Times New Roman"/>
          <w:sz w:val="16"/>
          <w:szCs w:val="16"/>
        </w:rPr>
      </w:pPr>
      <w:r w:rsidRPr="00C4462B">
        <w:rPr>
          <w:rStyle w:val="Allmrkuseviide"/>
          <w:rFonts w:ascii="Times New Roman" w:hAnsi="Times New Roman" w:cs="Times New Roman"/>
          <w:sz w:val="16"/>
          <w:szCs w:val="16"/>
        </w:rPr>
        <w:footnoteRef/>
      </w:r>
      <w:r w:rsidR="00F3592D">
        <w:rPr>
          <w:rFonts w:ascii="Times New Roman" w:hAnsi="Times New Roman" w:cs="Times New Roman"/>
          <w:sz w:val="16"/>
          <w:szCs w:val="16"/>
        </w:rPr>
        <w:t xml:space="preserve"> s</w:t>
      </w:r>
      <w:r w:rsidRPr="00C4462B">
        <w:rPr>
          <w:rFonts w:ascii="Times New Roman" w:hAnsi="Times New Roman" w:cs="Times New Roman"/>
          <w:sz w:val="16"/>
          <w:szCs w:val="16"/>
        </w:rPr>
        <w:t xml:space="preserve">ellist tähistust, võrdlemaks 2015.aasta eelarvet 2014.aasta eelarve täitmisega, </w:t>
      </w:r>
      <w:r w:rsidR="00F3592D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:rsidR="00F143C6" w:rsidRDefault="00F143C6" w:rsidP="00F143C6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C26"/>
    <w:multiLevelType w:val="hybridMultilevel"/>
    <w:tmpl w:val="08D88074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13"/>
    <w:rsid w:val="000315EA"/>
    <w:rsid w:val="0005367A"/>
    <w:rsid w:val="000632B5"/>
    <w:rsid w:val="000B2CE0"/>
    <w:rsid w:val="001255E3"/>
    <w:rsid w:val="00157C18"/>
    <w:rsid w:val="00177D94"/>
    <w:rsid w:val="001A07E8"/>
    <w:rsid w:val="001A23AD"/>
    <w:rsid w:val="001A3695"/>
    <w:rsid w:val="001D25DF"/>
    <w:rsid w:val="00255AD8"/>
    <w:rsid w:val="00267B57"/>
    <w:rsid w:val="0027380C"/>
    <w:rsid w:val="00327BC1"/>
    <w:rsid w:val="00362462"/>
    <w:rsid w:val="003800FF"/>
    <w:rsid w:val="00385E96"/>
    <w:rsid w:val="0038620E"/>
    <w:rsid w:val="003B0467"/>
    <w:rsid w:val="003B5893"/>
    <w:rsid w:val="003F44CB"/>
    <w:rsid w:val="004074AA"/>
    <w:rsid w:val="00407E14"/>
    <w:rsid w:val="004121B9"/>
    <w:rsid w:val="00435913"/>
    <w:rsid w:val="0045199E"/>
    <w:rsid w:val="00456283"/>
    <w:rsid w:val="0047454A"/>
    <w:rsid w:val="004A4D5D"/>
    <w:rsid w:val="004A60A0"/>
    <w:rsid w:val="004A6A31"/>
    <w:rsid w:val="005030C7"/>
    <w:rsid w:val="00514C14"/>
    <w:rsid w:val="00555319"/>
    <w:rsid w:val="005D2F95"/>
    <w:rsid w:val="00606946"/>
    <w:rsid w:val="00616F01"/>
    <w:rsid w:val="00623AB1"/>
    <w:rsid w:val="00682013"/>
    <w:rsid w:val="00692AA7"/>
    <w:rsid w:val="006966DF"/>
    <w:rsid w:val="006C408C"/>
    <w:rsid w:val="006C55FF"/>
    <w:rsid w:val="00703B27"/>
    <w:rsid w:val="0071766E"/>
    <w:rsid w:val="00726E18"/>
    <w:rsid w:val="007622A1"/>
    <w:rsid w:val="007C1310"/>
    <w:rsid w:val="007E5644"/>
    <w:rsid w:val="007E5BBA"/>
    <w:rsid w:val="007F5917"/>
    <w:rsid w:val="00857490"/>
    <w:rsid w:val="008617ED"/>
    <w:rsid w:val="008C4C94"/>
    <w:rsid w:val="008D08F4"/>
    <w:rsid w:val="008E49F9"/>
    <w:rsid w:val="009026E9"/>
    <w:rsid w:val="009209CE"/>
    <w:rsid w:val="00943F15"/>
    <w:rsid w:val="00A208B4"/>
    <w:rsid w:val="00A73D01"/>
    <w:rsid w:val="00A74929"/>
    <w:rsid w:val="00AC0050"/>
    <w:rsid w:val="00AC4E27"/>
    <w:rsid w:val="00AD3456"/>
    <w:rsid w:val="00AE242F"/>
    <w:rsid w:val="00B05C61"/>
    <w:rsid w:val="00B92E72"/>
    <w:rsid w:val="00BD30CD"/>
    <w:rsid w:val="00BF7F88"/>
    <w:rsid w:val="00C31E9F"/>
    <w:rsid w:val="00C400BA"/>
    <w:rsid w:val="00C4422F"/>
    <w:rsid w:val="00C4462B"/>
    <w:rsid w:val="00C80452"/>
    <w:rsid w:val="00C97BEF"/>
    <w:rsid w:val="00D60914"/>
    <w:rsid w:val="00D62E2B"/>
    <w:rsid w:val="00D9261E"/>
    <w:rsid w:val="00DA00D5"/>
    <w:rsid w:val="00E078DC"/>
    <w:rsid w:val="00E24038"/>
    <w:rsid w:val="00E30711"/>
    <w:rsid w:val="00E45EEB"/>
    <w:rsid w:val="00E53BEA"/>
    <w:rsid w:val="00E541E7"/>
    <w:rsid w:val="00E7137B"/>
    <w:rsid w:val="00E8001C"/>
    <w:rsid w:val="00EA10E3"/>
    <w:rsid w:val="00EA6C5B"/>
    <w:rsid w:val="00F01C0E"/>
    <w:rsid w:val="00F143C6"/>
    <w:rsid w:val="00F3592D"/>
    <w:rsid w:val="00F8111E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201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682013"/>
    <w:rPr>
      <w:b/>
      <w:bCs/>
      <w:color w:val="4F81BD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AB1"/>
  </w:style>
  <w:style w:type="character" w:styleId="Hperlink">
    <w:name w:val="Hyperlink"/>
    <w:basedOn w:val="Liguvaikefont"/>
    <w:uiPriority w:val="99"/>
    <w:unhideWhenUsed/>
    <w:rsid w:val="0027380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7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iki.hepner\AppData\Local\Microsoft\Windows\Temporary%20Internet%20Files\Content.Outlook\ZNH4LRAY\Eelarvestrateegiad\Eelarvestrateegia%202016-2019.o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i_t__leh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ret.puun\Documents\2017%20eelarve%20l&#252;hi&#252;levaate%20joonis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2017. aastal võrreldes 2016. aasta eelarve täitmisega (tuhat eurot)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1282.72</c:v>
                </c:pt>
                <c:pt idx="2">
                  <c:v>280.88099999999997</c:v>
                </c:pt>
                <c:pt idx="4">
                  <c:v>144.93700000000001</c:v>
                </c:pt>
                <c:pt idx="6">
                  <c:v>137.74199999999999</c:v>
                </c:pt>
                <c:pt idx="8">
                  <c:v>397.01</c:v>
                </c:pt>
                <c:pt idx="10">
                  <c:v>442.79899999999986</c:v>
                </c:pt>
              </c:numCache>
            </c:numRef>
          </c:val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3490.6439999999998</c:v>
                </c:pt>
                <c:pt idx="2">
                  <c:v>376.57499999999999</c:v>
                </c:pt>
                <c:pt idx="4">
                  <c:v>127.03700000000001</c:v>
                </c:pt>
                <c:pt idx="6">
                  <c:v>371.697</c:v>
                </c:pt>
                <c:pt idx="8">
                  <c:v>106.768</c:v>
                </c:pt>
                <c:pt idx="10">
                  <c:v>141.40400000000014</c:v>
                </c:pt>
              </c:numCache>
            </c:numRef>
          </c:val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</c:v>
                </c:pt>
                <c:pt idx="2">
                  <c:v>189.97300000000001</c:v>
                </c:pt>
                <c:pt idx="4">
                  <c:v>359.28399999999999</c:v>
                </c:pt>
                <c:pt idx="6">
                  <c:v>42.417000000000002</c:v>
                </c:pt>
                <c:pt idx="8">
                  <c:v>0</c:v>
                </c:pt>
                <c:pt idx="10">
                  <c:v>41.533999999999963</c:v>
                </c:pt>
              </c:numCache>
            </c:numRef>
          </c:val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1190.307</c:v>
                </c:pt>
                <c:pt idx="3">
                  <c:v>302.15300000000002</c:v>
                </c:pt>
                <c:pt idx="5">
                  <c:v>107.358</c:v>
                </c:pt>
                <c:pt idx="7">
                  <c:v>116.67</c:v>
                </c:pt>
                <c:pt idx="9">
                  <c:v>315.28199999999998</c:v>
                </c:pt>
                <c:pt idx="11">
                  <c:v>259.214</c:v>
                </c:pt>
              </c:numCache>
            </c:numRef>
          </c:val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2764.8719999999998</c:v>
                </c:pt>
                <c:pt idx="3">
                  <c:v>627.13400000000001</c:v>
                </c:pt>
                <c:pt idx="5">
                  <c:v>107.761</c:v>
                </c:pt>
                <c:pt idx="7">
                  <c:v>316.137</c:v>
                </c:pt>
                <c:pt idx="9">
                  <c:v>103.901</c:v>
                </c:pt>
                <c:pt idx="11">
                  <c:v>120.0800000000004</c:v>
                </c:pt>
              </c:numCache>
            </c:numRef>
          </c:val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10.94</c:v>
                </c:pt>
                <c:pt idx="3">
                  <c:v>167.09200000000001</c:v>
                </c:pt>
                <c:pt idx="5">
                  <c:v>339.39</c:v>
                </c:pt>
                <c:pt idx="7">
                  <c:v>40.396000000000001</c:v>
                </c:pt>
                <c:pt idx="9">
                  <c:v>1.522</c:v>
                </c:pt>
                <c:pt idx="11">
                  <c:v>18.512999999999927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81683600"/>
        <c:axId val="181683992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6566401422044476E-2"/>
                  <c:y val="-0.236637925658860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867724867724866E-2"/>
                  <c:y val="-8.6889905500473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361815884125598E-2"/>
                  <c:y val="0.169409590539843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77098695996334E-2"/>
                  <c:y val="0.218365674053162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157230346206803E-2"/>
                  <c:y val="0.238524061382175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566401422044469E-2"/>
                  <c:y val="0.466025861238187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noFill/>
                    </a:ln>
                  </c:spPr>
                </c15:leaderLines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2017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2016</c:v>
                  </c:pt>
                  <c:pt idx="6">
                    <c:v>2017</c:v>
                  </c:pt>
                  <c:pt idx="7">
                    <c:v>2016</c:v>
                  </c:pt>
                  <c:pt idx="8">
                    <c:v>2017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2016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0.20353524440391202</c:v>
                </c:pt>
                <c:pt idx="2" formatCode="0%">
                  <c:v>-0.22706564062244916</c:v>
                </c:pt>
                <c:pt idx="4" formatCode="0%">
                  <c:v>0.13840893475128446</c:v>
                </c:pt>
                <c:pt idx="6" formatCode="0%">
                  <c:v>0.16621407725648396</c:v>
                </c:pt>
                <c:pt idx="8" formatCode="0%">
                  <c:v>0.19746140407173685</c:v>
                </c:pt>
                <c:pt idx="10" formatCode="0%">
                  <c:v>0.57296628767216129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107128"/>
        <c:axId val="182106736"/>
      </c:lineChart>
      <c:catAx>
        <c:axId val="18168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683992"/>
        <c:crosses val="autoZero"/>
        <c:auto val="1"/>
        <c:lblAlgn val="ctr"/>
        <c:lblOffset val="100"/>
        <c:noMultiLvlLbl val="0"/>
      </c:catAx>
      <c:valAx>
        <c:axId val="18168399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81683600"/>
        <c:crosses val="autoZero"/>
        <c:crossBetween val="between"/>
      </c:valAx>
      <c:valAx>
        <c:axId val="18210673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82107128"/>
        <c:crosses val="max"/>
        <c:crossBetween val="between"/>
      </c:valAx>
      <c:catAx>
        <c:axId val="182107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2106736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9.1894196044877627E-2"/>
          <c:y val="2.7885775248070892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loodetav 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1571.25</c:v>
                </c:pt>
                <c:pt idx="1">
                  <c:v>180</c:v>
                </c:pt>
                <c:pt idx="2">
                  <c:v>79.3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990.529</c:v>
                </c:pt>
                <c:pt idx="1">
                  <c:v>2132.5</c:v>
                </c:pt>
                <c:pt idx="2">
                  <c:v>102.63500000000001</c:v>
                </c:pt>
                <c:pt idx="3">
                  <c:v>181.28</c:v>
                </c:pt>
                <c:pt idx="4">
                  <c:v>102.672</c:v>
                </c:pt>
                <c:pt idx="5">
                  <c:v>100.07999999999947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226434944"/>
        <c:axId val="178942832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437.53800000000001</c:v>
                </c:pt>
                <c:pt idx="1">
                  <c:v>94.188999999999993</c:v>
                </c:pt>
                <c:pt idx="2">
                  <c:v>105.649</c:v>
                </c:pt>
                <c:pt idx="3">
                  <c:v>146.047</c:v>
                </c:pt>
                <c:pt idx="4">
                  <c:v>24.890999999999998</c:v>
                </c:pt>
                <c:pt idx="5">
                  <c:v>124.93799999999999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434944"/>
        <c:axId val="178942832"/>
      </c:lineChart>
      <c:catAx>
        <c:axId val="22643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942832"/>
        <c:crosses val="autoZero"/>
        <c:auto val="1"/>
        <c:lblAlgn val="ctr"/>
        <c:lblOffset val="100"/>
        <c:noMultiLvlLbl val="0"/>
      </c:catAx>
      <c:valAx>
        <c:axId val="17894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43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2C58-5A3E-49D5-A677-32BEF7A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1012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Piret Puun</cp:lastModifiedBy>
  <cp:revision>18</cp:revision>
  <cp:lastPrinted>2016-02-29T12:29:00Z</cp:lastPrinted>
  <dcterms:created xsi:type="dcterms:W3CDTF">2017-03-02T11:45:00Z</dcterms:created>
  <dcterms:modified xsi:type="dcterms:W3CDTF">2017-03-13T07:47:00Z</dcterms:modified>
</cp:coreProperties>
</file>