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13" w:rsidRDefault="00682013" w:rsidP="005030C7">
      <w:pPr>
        <w:contextualSpacing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85E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Lühiülevaade </w:t>
      </w:r>
      <w:r w:rsidR="00255A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Kohila valla </w:t>
      </w:r>
      <w:r w:rsidRPr="00685E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201</w:t>
      </w:r>
      <w:r w:rsidR="003B046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6</w:t>
      </w:r>
      <w:r w:rsidRPr="00685E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3B046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a</w:t>
      </w:r>
      <w:r w:rsidRPr="00685E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asta valla eelarvest </w:t>
      </w:r>
    </w:p>
    <w:p w:rsidR="005030C7" w:rsidRPr="00685E8F" w:rsidRDefault="005030C7" w:rsidP="005030C7">
      <w:pPr>
        <w:contextualSpacing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682013" w:rsidRPr="00685E8F" w:rsidRDefault="00682013" w:rsidP="005030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85E8F">
        <w:rPr>
          <w:rFonts w:ascii="Times New Roman" w:hAnsi="Times New Roman" w:cs="Times New Roman"/>
          <w:sz w:val="20"/>
          <w:szCs w:val="20"/>
        </w:rPr>
        <w:t>Vald kinnitas oma prioriteedid 201</w:t>
      </w:r>
      <w:r w:rsidR="003B0467">
        <w:rPr>
          <w:rFonts w:ascii="Times New Roman" w:hAnsi="Times New Roman" w:cs="Times New Roman"/>
          <w:sz w:val="20"/>
          <w:szCs w:val="20"/>
        </w:rPr>
        <w:t>6</w:t>
      </w:r>
      <w:r w:rsidRPr="00685E8F">
        <w:rPr>
          <w:rFonts w:ascii="Times New Roman" w:hAnsi="Times New Roman" w:cs="Times New Roman"/>
          <w:sz w:val="20"/>
          <w:szCs w:val="20"/>
        </w:rPr>
        <w:t xml:space="preserve">. aastaks </w:t>
      </w:r>
      <w:hyperlink r:id="rId8" w:history="1">
        <w:r w:rsidRPr="0027380C">
          <w:rPr>
            <w:rStyle w:val="Hperlink"/>
            <w:rFonts w:ascii="Times New Roman" w:hAnsi="Times New Roman" w:cs="Times New Roman"/>
            <w:i/>
            <w:sz w:val="20"/>
            <w:szCs w:val="20"/>
          </w:rPr>
          <w:t>eelarvestrateegias</w:t>
        </w:r>
      </w:hyperlink>
      <w:r w:rsidRPr="00685E8F">
        <w:rPr>
          <w:rFonts w:ascii="Times New Roman" w:hAnsi="Times New Roman" w:cs="Times New Roman"/>
          <w:i/>
          <w:color w:val="548DD4" w:themeColor="text2" w:themeTint="99"/>
          <w:sz w:val="20"/>
          <w:szCs w:val="20"/>
          <w:u w:val="single"/>
        </w:rPr>
        <w:t xml:space="preserve"> 201</w:t>
      </w:r>
      <w:r w:rsidR="003B0467">
        <w:rPr>
          <w:rFonts w:ascii="Times New Roman" w:hAnsi="Times New Roman" w:cs="Times New Roman"/>
          <w:i/>
          <w:color w:val="548DD4" w:themeColor="text2" w:themeTint="99"/>
          <w:sz w:val="20"/>
          <w:szCs w:val="20"/>
          <w:u w:val="single"/>
        </w:rPr>
        <w:t>6</w:t>
      </w:r>
      <w:r w:rsidRPr="00685E8F">
        <w:rPr>
          <w:rFonts w:ascii="Times New Roman" w:hAnsi="Times New Roman" w:cs="Times New Roman"/>
          <w:i/>
          <w:color w:val="548DD4" w:themeColor="text2" w:themeTint="99"/>
          <w:sz w:val="20"/>
          <w:szCs w:val="20"/>
          <w:u w:val="single"/>
        </w:rPr>
        <w:t>-201</w:t>
      </w:r>
      <w:r w:rsidR="003B0467">
        <w:rPr>
          <w:rFonts w:ascii="Times New Roman" w:hAnsi="Times New Roman" w:cs="Times New Roman"/>
          <w:i/>
          <w:color w:val="548DD4" w:themeColor="text2" w:themeTint="99"/>
          <w:sz w:val="20"/>
          <w:szCs w:val="20"/>
          <w:u w:val="single"/>
        </w:rPr>
        <w:t>9</w:t>
      </w:r>
      <w:r w:rsidRPr="00685E8F">
        <w:rPr>
          <w:rFonts w:ascii="Times New Roman" w:hAnsi="Times New Roman" w:cs="Times New Roman"/>
          <w:sz w:val="20"/>
          <w:szCs w:val="20"/>
        </w:rPr>
        <w:t>,</w:t>
      </w:r>
      <w:r w:rsidRPr="00685E8F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sz w:val="20"/>
          <w:szCs w:val="20"/>
        </w:rPr>
        <w:t>mis võeti vastu 201</w:t>
      </w:r>
      <w:r w:rsidR="003B0467">
        <w:rPr>
          <w:rFonts w:ascii="Times New Roman" w:hAnsi="Times New Roman" w:cs="Times New Roman"/>
          <w:sz w:val="20"/>
          <w:szCs w:val="20"/>
        </w:rPr>
        <w:t>5</w:t>
      </w:r>
      <w:r w:rsidRPr="00685E8F">
        <w:rPr>
          <w:rFonts w:ascii="Times New Roman" w:hAnsi="Times New Roman" w:cs="Times New Roman"/>
          <w:sz w:val="20"/>
          <w:szCs w:val="20"/>
        </w:rPr>
        <w:t>.</w:t>
      </w:r>
      <w:r w:rsidR="003B0467">
        <w:rPr>
          <w:rFonts w:ascii="Times New Roman" w:hAnsi="Times New Roman" w:cs="Times New Roman"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sz w:val="20"/>
          <w:szCs w:val="20"/>
        </w:rPr>
        <w:t xml:space="preserve">aasta septembris. </w:t>
      </w:r>
      <w:r w:rsidR="00623AB1">
        <w:rPr>
          <w:rFonts w:ascii="Times New Roman" w:hAnsi="Times New Roman" w:cs="Times New Roman"/>
          <w:sz w:val="20"/>
          <w:szCs w:val="20"/>
        </w:rPr>
        <w:t xml:space="preserve">Tänu </w:t>
      </w:r>
      <w:r w:rsidR="00255AD8">
        <w:rPr>
          <w:rFonts w:ascii="Times New Roman" w:hAnsi="Times New Roman" w:cs="Times New Roman"/>
          <w:sz w:val="20"/>
          <w:szCs w:val="20"/>
        </w:rPr>
        <w:t xml:space="preserve">peamiselt </w:t>
      </w:r>
      <w:r w:rsidR="00623AB1">
        <w:rPr>
          <w:rFonts w:ascii="Times New Roman" w:hAnsi="Times New Roman" w:cs="Times New Roman"/>
          <w:sz w:val="20"/>
          <w:szCs w:val="20"/>
        </w:rPr>
        <w:t>riigitoetuste kasvule on eelarve tulud eelarvestrateegias prognoositust suuremad.</w:t>
      </w:r>
    </w:p>
    <w:p w:rsidR="00682013" w:rsidRDefault="00682013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  <w:r w:rsidRPr="00685E8F">
        <w:rPr>
          <w:rFonts w:ascii="Times New Roman" w:hAnsi="Times New Roman" w:cs="Times New Roman"/>
        </w:rPr>
        <w:t>201</w:t>
      </w:r>
      <w:r w:rsidR="003B0467">
        <w:rPr>
          <w:rFonts w:ascii="Times New Roman" w:hAnsi="Times New Roman" w:cs="Times New Roman"/>
        </w:rPr>
        <w:t>6</w:t>
      </w:r>
      <w:r w:rsidRPr="00685E8F">
        <w:rPr>
          <w:rFonts w:ascii="Times New Roman" w:hAnsi="Times New Roman" w:cs="Times New Roman"/>
        </w:rPr>
        <w:t>.</w:t>
      </w:r>
      <w:r w:rsidR="00623AB1">
        <w:rPr>
          <w:rFonts w:ascii="Times New Roman" w:hAnsi="Times New Roman" w:cs="Times New Roman"/>
        </w:rPr>
        <w:t xml:space="preserve"> </w:t>
      </w:r>
      <w:r w:rsidRPr="00685E8F">
        <w:rPr>
          <w:rFonts w:ascii="Times New Roman" w:hAnsi="Times New Roman" w:cs="Times New Roman"/>
        </w:rPr>
        <w:t xml:space="preserve">aastaks on vallal </w:t>
      </w:r>
      <w:r w:rsidR="003B0467">
        <w:rPr>
          <w:rFonts w:ascii="Times New Roman" w:hAnsi="Times New Roman" w:cs="Times New Roman"/>
        </w:rPr>
        <w:t>järgmised prioriteedid:</w:t>
      </w:r>
      <w:r w:rsidR="00DA00D5">
        <w:rPr>
          <w:rFonts w:ascii="Times New Roman" w:hAnsi="Times New Roman" w:cs="Times New Roman"/>
        </w:rPr>
        <w:t xml:space="preserve"> </w:t>
      </w:r>
    </w:p>
    <w:p w:rsidR="005030C7" w:rsidRDefault="005030C7" w:rsidP="005030C7">
      <w:pPr>
        <w:pStyle w:val="Pealkiri10"/>
        <w:contextualSpacing/>
        <w:jc w:val="both"/>
        <w:rPr>
          <w:rFonts w:ascii="Times New Roman" w:hAnsi="Times New Roman" w:cs="Times New Roman"/>
          <w:color w:val="FF0000"/>
        </w:rPr>
      </w:pPr>
    </w:p>
    <w:p w:rsidR="00DA00D5" w:rsidRPr="00AE242F" w:rsidRDefault="00AE242F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242F">
        <w:rPr>
          <w:rFonts w:ascii="Times New Roman" w:hAnsi="Times New Roman" w:cs="Times New Roman"/>
          <w:color w:val="000000" w:themeColor="text1"/>
          <w:sz w:val="20"/>
          <w:szCs w:val="20"/>
        </w:rPr>
        <w:t>Kohila Gümnaasiumi renoveerimise ja juurdeehitusega alustamine</w:t>
      </w:r>
    </w:p>
    <w:p w:rsidR="00AE242F" w:rsidRDefault="00AE242F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Investeeringu</w:t>
      </w:r>
      <w:r w:rsidR="001A23AD">
        <w:rPr>
          <w:rFonts w:ascii="Times New Roman" w:hAnsi="Times New Roman" w:cs="Times New Roman"/>
          <w:color w:val="000000" w:themeColor="text1"/>
          <w:sz w:val="20"/>
          <w:szCs w:val="20"/>
        </w:rPr>
        <w:t>d teedesse (sh kergteedesse)</w:t>
      </w:r>
    </w:p>
    <w:p w:rsidR="001A23AD" w:rsidRDefault="001A23AD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Korterituru ja uute töökohtade tekke edendamine</w:t>
      </w:r>
    </w:p>
    <w:p w:rsidR="001A23AD" w:rsidRDefault="001A23AD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Maade munitsipaliseerimine</w:t>
      </w:r>
    </w:p>
    <w:p w:rsidR="001A23AD" w:rsidRDefault="00F81F61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Investeeringud tervisespordi ja vabaaja rajatistesse</w:t>
      </w:r>
    </w:p>
    <w:p w:rsidR="00F81F61" w:rsidRDefault="00F81F61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Ühisveevärgi ja kanalisatsiooni rajamise projektiga jätkamine Aespa-Vilivere aedlinnaku piirkonnas</w:t>
      </w:r>
    </w:p>
    <w:p w:rsidR="00F81F61" w:rsidRDefault="00F81F61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Küttesüsteemide rekonstrueerimine Põnnipere lasteaias  ja Hageri rahvamajas</w:t>
      </w:r>
    </w:p>
    <w:p w:rsidR="00F81F61" w:rsidRPr="00AE242F" w:rsidRDefault="00F81F61" w:rsidP="005030C7">
      <w:pPr>
        <w:pStyle w:val="Loendilik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2013" w:rsidRDefault="00682013" w:rsidP="005030C7">
      <w:pPr>
        <w:pStyle w:val="Pealkiri1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5E8F">
        <w:rPr>
          <w:rFonts w:ascii="Times New Roman" w:hAnsi="Times New Roman" w:cs="Times New Roman"/>
        </w:rPr>
        <w:t>Põhitegevuse tulud</w:t>
      </w:r>
      <w:r w:rsidR="00514C14">
        <w:rPr>
          <w:rStyle w:val="Allmrkuseviide"/>
          <w:rFonts w:ascii="Times New Roman" w:hAnsi="Times New Roman" w:cs="Times New Roman"/>
        </w:rPr>
        <w:footnoteReference w:id="1"/>
      </w:r>
    </w:p>
    <w:p w:rsidR="00DA00D5" w:rsidRPr="00685E8F" w:rsidRDefault="00DA00D5" w:rsidP="005030C7">
      <w:pPr>
        <w:pStyle w:val="Pealkiri10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82013" w:rsidRPr="00685E8F" w:rsidRDefault="00682013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5E8F">
        <w:rPr>
          <w:rFonts w:ascii="Times New Roman" w:hAnsi="Times New Roman" w:cs="Times New Roman"/>
          <w:b/>
          <w:sz w:val="20"/>
          <w:szCs w:val="20"/>
        </w:rPr>
        <w:t>201</w:t>
      </w:r>
      <w:r w:rsidR="003B0467">
        <w:rPr>
          <w:rFonts w:ascii="Times New Roman" w:hAnsi="Times New Roman" w:cs="Times New Roman"/>
          <w:b/>
          <w:sz w:val="20"/>
          <w:szCs w:val="20"/>
        </w:rPr>
        <w:t>6</w:t>
      </w:r>
      <w:r w:rsidRPr="00685E8F">
        <w:rPr>
          <w:rFonts w:ascii="Times New Roman" w:hAnsi="Times New Roman" w:cs="Times New Roman"/>
          <w:b/>
          <w:sz w:val="20"/>
          <w:szCs w:val="20"/>
        </w:rPr>
        <w:t>.</w:t>
      </w:r>
      <w:r w:rsidR="003B04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aasta eelarves on planeeritud </w:t>
      </w:r>
      <w:r w:rsidR="00F143C6">
        <w:rPr>
          <w:rFonts w:ascii="Times New Roman" w:hAnsi="Times New Roman" w:cs="Times New Roman"/>
          <w:b/>
          <w:sz w:val="20"/>
          <w:szCs w:val="20"/>
        </w:rPr>
        <w:t xml:space="preserve">põhitegevuse </w:t>
      </w:r>
      <w:r w:rsidRPr="00685E8F">
        <w:rPr>
          <w:rFonts w:ascii="Times New Roman" w:hAnsi="Times New Roman" w:cs="Times New Roman"/>
          <w:b/>
          <w:sz w:val="20"/>
          <w:szCs w:val="20"/>
        </w:rPr>
        <w:t>tulu</w:t>
      </w:r>
      <w:r w:rsidR="003B0467">
        <w:rPr>
          <w:rFonts w:ascii="Times New Roman" w:hAnsi="Times New Roman" w:cs="Times New Roman"/>
          <w:b/>
          <w:sz w:val="20"/>
          <w:szCs w:val="20"/>
        </w:rPr>
        <w:t>d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0467">
        <w:rPr>
          <w:rFonts w:ascii="Times New Roman" w:hAnsi="Times New Roman" w:cs="Times New Roman"/>
          <w:b/>
          <w:sz w:val="20"/>
          <w:szCs w:val="20"/>
        </w:rPr>
        <w:t>8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 miljonit eurot. See on 0,</w:t>
      </w:r>
      <w:r w:rsidR="003B0467">
        <w:rPr>
          <w:rFonts w:ascii="Times New Roman" w:hAnsi="Times New Roman" w:cs="Times New Roman"/>
          <w:b/>
          <w:sz w:val="20"/>
          <w:szCs w:val="20"/>
        </w:rPr>
        <w:t>7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 miljonit eurot ehk </w:t>
      </w:r>
      <w:r w:rsidR="003B0467">
        <w:rPr>
          <w:rFonts w:ascii="Times New Roman" w:hAnsi="Times New Roman" w:cs="Times New Roman"/>
          <w:b/>
          <w:sz w:val="20"/>
          <w:szCs w:val="20"/>
        </w:rPr>
        <w:t>9,1</w:t>
      </w:r>
      <w:r w:rsidRPr="00685E8F">
        <w:rPr>
          <w:rFonts w:ascii="Times New Roman" w:hAnsi="Times New Roman" w:cs="Times New Roman"/>
          <w:b/>
          <w:sz w:val="20"/>
          <w:szCs w:val="20"/>
        </w:rPr>
        <w:t>% enam kui 201</w:t>
      </w:r>
      <w:r w:rsidR="003B0467">
        <w:rPr>
          <w:rFonts w:ascii="Times New Roman" w:hAnsi="Times New Roman" w:cs="Times New Roman"/>
          <w:b/>
          <w:sz w:val="20"/>
          <w:szCs w:val="20"/>
        </w:rPr>
        <w:t>5</w:t>
      </w:r>
      <w:r w:rsidRPr="00685E8F">
        <w:rPr>
          <w:rFonts w:ascii="Times New Roman" w:hAnsi="Times New Roman" w:cs="Times New Roman"/>
          <w:b/>
          <w:sz w:val="20"/>
          <w:szCs w:val="20"/>
        </w:rPr>
        <w:t>.</w:t>
      </w:r>
      <w:r w:rsidR="008D08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aasta eelarve täitmine. </w:t>
      </w:r>
    </w:p>
    <w:p w:rsidR="00682013" w:rsidRPr="00685E8F" w:rsidRDefault="00682013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Eelarve tuludest 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65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ehk 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5,2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miljonit moodustab tulumaks (</w:t>
      </w:r>
      <w:r w:rsidR="00C442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võrreldes eelmise aastaga kasv 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+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%)</w:t>
      </w:r>
      <w:r w:rsidRPr="00685E8F">
        <w:rPr>
          <w:rStyle w:val="Allmrkuseviide"/>
          <w:rFonts w:ascii="Times New Roman" w:hAnsi="Times New Roman" w:cs="Times New Roman"/>
          <w:color w:val="000000" w:themeColor="text1"/>
          <w:sz w:val="20"/>
          <w:szCs w:val="20"/>
        </w:rPr>
        <w:footnoteReference w:id="2"/>
      </w:r>
    </w:p>
    <w:p w:rsidR="00682013" w:rsidRPr="00685E8F" w:rsidRDefault="00682013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Kaupade ja teenuste müügist kogutakse eelarvesse 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ehk 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0,5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miljonit eurot (+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%). Laekumise kasvu mõjutab eelkõige lapsevanemate osalustasu lasteaedades, mis on sõltuvuses Vabariigi Valitsuse poolt kehtestatud alampalgast (lasteaia osalustasu tõuseb 201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442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aastal 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43 eurole), samuti laekub rohkem kohamaks</w:t>
      </w:r>
      <w:r w:rsidR="00C4422F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teistelt </w:t>
      </w:r>
      <w:proofErr w:type="spellStart"/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KOVlt</w:t>
      </w:r>
      <w:proofErr w:type="spellEnd"/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, kuna lapsi mujalt on rohkem.</w:t>
      </w:r>
    </w:p>
    <w:p w:rsidR="00682013" w:rsidRPr="00685E8F" w:rsidRDefault="00682013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Saadud toetused moodustavad eelarve tuludest 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24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%, ulatudes 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miljoni euroni (+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%). Kasv on seotud Vabariigi Valitsuse poolt kehtestatud õpetajate alampalga tõusuga 9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58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euroni (vallas tõuseb õpetaja keskmine palk 201</w:t>
      </w:r>
      <w:r w:rsidR="00DA00D5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A00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aastal ca 1 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150 euroni) ja </w:t>
      </w:r>
      <w:proofErr w:type="spellStart"/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HTMlt</w:t>
      </w:r>
      <w:proofErr w:type="spellEnd"/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loodame erakoolide kohamaksude kompensatsiooni saada 2011.-2014. aasta eest. </w:t>
      </w:r>
    </w:p>
    <w:p w:rsidR="00682013" w:rsidRPr="00685E8F" w:rsidRDefault="00682013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Muud tulud (maamaks, keskkonnatasud jms) moodustavad eelarve tuludest 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% ehk 0,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3 miljonit eurot (-0,6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%)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143C6" w:rsidRDefault="00F143C6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Põhitegevuse kulud </w:t>
      </w:r>
      <w:r>
        <w:rPr>
          <w:rStyle w:val="Allmrkuseviide"/>
          <w:rFonts w:ascii="Times New Roman" w:hAnsi="Times New Roman" w:cs="Times New Roman"/>
        </w:rPr>
        <w:footnoteReference w:id="3"/>
      </w:r>
    </w:p>
    <w:p w:rsidR="005030C7" w:rsidRDefault="005030C7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2016. aasta eelarves on planeeritud põhitegevuse kulud 7,4 miljonit eurot. See on 0,9 miljonit eurot ehk 13,1% enam kui 2015. aasta eelarve täitmine. </w:t>
      </w: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Põhitegevuse kulud jaotuvad üheksa erineva valdkonna vahel, mis omakorda jagunevad majandusliku sisu alusel kaheks: majandamis- ja personalikulud.</w:t>
      </w:r>
    </w:p>
    <w:p w:rsidR="00F143C6" w:rsidRDefault="00F143C6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Haridus</w:t>
      </w:r>
      <w:r>
        <w:rPr>
          <w:rFonts w:ascii="Times New Roman" w:hAnsi="Times New Roman" w:cs="Times New Roman"/>
          <w:sz w:val="20"/>
          <w:szCs w:val="20"/>
        </w:rPr>
        <w:t xml:space="preserve"> moodustab põhitegevuse kuludest </w:t>
      </w:r>
      <w:r w:rsidR="00E7137B">
        <w:rPr>
          <w:rFonts w:ascii="Times New Roman" w:hAnsi="Times New Roman" w:cs="Times New Roman"/>
          <w:sz w:val="20"/>
          <w:szCs w:val="20"/>
        </w:rPr>
        <w:t>suurima osa 56,3</w:t>
      </w:r>
      <w:r>
        <w:rPr>
          <w:rFonts w:ascii="Times New Roman" w:hAnsi="Times New Roman" w:cs="Times New Roman"/>
          <w:sz w:val="20"/>
          <w:szCs w:val="20"/>
        </w:rPr>
        <w:t xml:space="preserve">% ehk </w:t>
      </w:r>
      <w:r w:rsidR="00E7137B">
        <w:rPr>
          <w:rFonts w:ascii="Times New Roman" w:hAnsi="Times New Roman" w:cs="Times New Roman"/>
          <w:sz w:val="20"/>
          <w:szCs w:val="20"/>
        </w:rPr>
        <w:t>4,1</w:t>
      </w:r>
      <w:r>
        <w:rPr>
          <w:rFonts w:ascii="Times New Roman" w:hAnsi="Times New Roman" w:cs="Times New Roman"/>
          <w:sz w:val="20"/>
          <w:szCs w:val="20"/>
        </w:rPr>
        <w:t xml:space="preserve"> miljonit</w:t>
      </w:r>
      <w:r w:rsidR="00DA00D5">
        <w:rPr>
          <w:rFonts w:ascii="Times New Roman" w:hAnsi="Times New Roman" w:cs="Times New Roman"/>
          <w:sz w:val="20"/>
          <w:szCs w:val="20"/>
        </w:rPr>
        <w:t xml:space="preserve"> eurot</w:t>
      </w:r>
      <w:r>
        <w:rPr>
          <w:rFonts w:ascii="Times New Roman" w:hAnsi="Times New Roman" w:cs="Times New Roman"/>
          <w:sz w:val="20"/>
          <w:szCs w:val="20"/>
        </w:rPr>
        <w:t>, kasv (+</w:t>
      </w:r>
      <w:r w:rsidR="00E7137B">
        <w:rPr>
          <w:rFonts w:ascii="Times New Roman" w:hAnsi="Times New Roman" w:cs="Times New Roman"/>
          <w:sz w:val="20"/>
          <w:szCs w:val="20"/>
        </w:rPr>
        <w:t>9,7</w:t>
      </w:r>
      <w:r>
        <w:rPr>
          <w:rFonts w:ascii="Times New Roman" w:hAnsi="Times New Roman" w:cs="Times New Roman"/>
          <w:sz w:val="20"/>
          <w:szCs w:val="20"/>
        </w:rPr>
        <w:t>%)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F143C6" w:rsidRDefault="00F143C6" w:rsidP="005030C7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Võrreldes 201</w:t>
      </w:r>
      <w:r w:rsidR="00E7137B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.aastaga suurenevad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F143C6" w:rsidRPr="00857490" w:rsidRDefault="00F143C6" w:rsidP="005030C7">
      <w:pPr>
        <w:pStyle w:val="Loendilik"/>
        <w:numPr>
          <w:ilvl w:val="2"/>
          <w:numId w:val="5"/>
        </w:numPr>
        <w:jc w:val="both"/>
        <w:rPr>
          <w:rFonts w:ascii="Times New Roman" w:hAnsi="Times New Roman" w:cs="Times New Roman"/>
          <w:b/>
          <w:bCs/>
          <w:color w:val="4F81BD" w:themeColor="accent1"/>
          <w:sz w:val="20"/>
          <w:szCs w:val="20"/>
        </w:rPr>
      </w:pPr>
      <w:r w:rsidRPr="00857490">
        <w:rPr>
          <w:rFonts w:ascii="Times New Roman" w:hAnsi="Times New Roman" w:cs="Times New Roman"/>
          <w:b/>
          <w:sz w:val="20"/>
          <w:szCs w:val="20"/>
        </w:rPr>
        <w:t>Majandamiskulud</w:t>
      </w:r>
      <w:r w:rsidRPr="00857490">
        <w:rPr>
          <w:rFonts w:ascii="Times New Roman" w:hAnsi="Times New Roman" w:cs="Times New Roman"/>
          <w:sz w:val="20"/>
          <w:szCs w:val="20"/>
        </w:rPr>
        <w:t xml:space="preserve"> </w:t>
      </w:r>
      <w:r w:rsidR="008617ED" w:rsidRPr="00857490">
        <w:rPr>
          <w:rFonts w:ascii="Times New Roman" w:hAnsi="Times New Roman" w:cs="Times New Roman"/>
          <w:sz w:val="20"/>
          <w:szCs w:val="20"/>
        </w:rPr>
        <w:t>1,2</w:t>
      </w:r>
      <w:r w:rsidRPr="00857490">
        <w:rPr>
          <w:rFonts w:ascii="Times New Roman" w:hAnsi="Times New Roman" w:cs="Times New Roman"/>
          <w:sz w:val="20"/>
          <w:szCs w:val="20"/>
        </w:rPr>
        <w:t xml:space="preserve"> miljoni euroni (+</w:t>
      </w:r>
      <w:r w:rsidR="008617ED" w:rsidRPr="00857490">
        <w:rPr>
          <w:rFonts w:ascii="Times New Roman" w:hAnsi="Times New Roman" w:cs="Times New Roman"/>
          <w:sz w:val="20"/>
          <w:szCs w:val="20"/>
        </w:rPr>
        <w:t>9</w:t>
      </w:r>
      <w:r w:rsidR="00857490" w:rsidRPr="00857490">
        <w:rPr>
          <w:rFonts w:ascii="Times New Roman" w:hAnsi="Times New Roman" w:cs="Times New Roman"/>
          <w:sz w:val="20"/>
          <w:szCs w:val="20"/>
        </w:rPr>
        <w:t>%) Kohila Gümnaasiumis on kasvanud õpilaste arv 54 võrra ja Kohila Mõisakoolis 26 võrra, sellega seoses ka õppetegevusega seotud majandamiskulud ja ülekantavad kohamaksud.</w:t>
      </w:r>
    </w:p>
    <w:p w:rsidR="00E7137B" w:rsidRPr="00C4422F" w:rsidRDefault="00F143C6" w:rsidP="005030C7">
      <w:pPr>
        <w:pStyle w:val="Loendilik"/>
        <w:numPr>
          <w:ilvl w:val="2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4422F">
        <w:rPr>
          <w:rFonts w:ascii="Times New Roman" w:hAnsi="Times New Roman" w:cs="Times New Roman"/>
          <w:b/>
          <w:sz w:val="20"/>
          <w:szCs w:val="20"/>
        </w:rPr>
        <w:lastRenderedPageBreak/>
        <w:t>Personalikulud</w:t>
      </w:r>
      <w:r w:rsidRPr="00C4422F">
        <w:rPr>
          <w:rFonts w:ascii="Times New Roman" w:hAnsi="Times New Roman" w:cs="Times New Roman"/>
          <w:sz w:val="20"/>
          <w:szCs w:val="20"/>
        </w:rPr>
        <w:t xml:space="preserve"> </w:t>
      </w:r>
      <w:r w:rsidR="008617ED" w:rsidRPr="00C4422F">
        <w:rPr>
          <w:rFonts w:ascii="Times New Roman" w:hAnsi="Times New Roman" w:cs="Times New Roman"/>
          <w:sz w:val="20"/>
          <w:szCs w:val="20"/>
        </w:rPr>
        <w:t>2,9</w:t>
      </w:r>
      <w:r w:rsidRPr="00C4422F">
        <w:rPr>
          <w:rFonts w:ascii="Times New Roman" w:hAnsi="Times New Roman" w:cs="Times New Roman"/>
          <w:sz w:val="20"/>
          <w:szCs w:val="20"/>
        </w:rPr>
        <w:t xml:space="preserve"> miljoni euroni (+10%)</w:t>
      </w:r>
      <w:r w:rsidR="00857490" w:rsidRPr="00C4422F">
        <w:rPr>
          <w:rFonts w:ascii="Times New Roman" w:hAnsi="Times New Roman" w:cs="Times New Roman"/>
          <w:sz w:val="20"/>
          <w:szCs w:val="20"/>
        </w:rPr>
        <w:t xml:space="preserve">, tõus on seotud pedagoogide ja teiste töötajate palgatõusuga nii gümnaasiumis kui ka lasteaedades, samuti alampalga tõusuga, mis on võrreldes 2015. aastaga </w:t>
      </w:r>
      <w:r w:rsidR="00DA00D5" w:rsidRPr="00C4422F">
        <w:rPr>
          <w:rFonts w:ascii="Times New Roman" w:hAnsi="Times New Roman" w:cs="Times New Roman"/>
          <w:sz w:val="20"/>
          <w:szCs w:val="20"/>
        </w:rPr>
        <w:t>+</w:t>
      </w:r>
      <w:r w:rsidR="00857490" w:rsidRPr="00C4422F">
        <w:rPr>
          <w:rFonts w:ascii="Times New Roman" w:hAnsi="Times New Roman" w:cs="Times New Roman"/>
          <w:sz w:val="20"/>
          <w:szCs w:val="20"/>
        </w:rPr>
        <w:t>10%.</w:t>
      </w:r>
      <w:r w:rsidRPr="00C442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32B5" w:rsidRPr="00C4422F" w:rsidRDefault="000632B5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37B" w:rsidRPr="00C4422F" w:rsidRDefault="00E7137B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4422F">
        <w:rPr>
          <w:rFonts w:ascii="Times New Roman" w:hAnsi="Times New Roman" w:cs="Times New Roman"/>
          <w:b/>
          <w:sz w:val="20"/>
          <w:szCs w:val="20"/>
        </w:rPr>
        <w:t>Vaba aeg, kultuur ja religioon</w:t>
      </w:r>
      <w:r w:rsidRPr="00C4422F">
        <w:rPr>
          <w:rFonts w:ascii="Times New Roman" w:hAnsi="Times New Roman" w:cs="Times New Roman"/>
          <w:sz w:val="20"/>
          <w:szCs w:val="20"/>
        </w:rPr>
        <w:t xml:space="preserve"> </w:t>
      </w:r>
      <w:r w:rsidR="006966DF" w:rsidRPr="00C4422F">
        <w:rPr>
          <w:rFonts w:ascii="Times New Roman" w:hAnsi="Times New Roman" w:cs="Times New Roman"/>
          <w:sz w:val="20"/>
          <w:szCs w:val="20"/>
        </w:rPr>
        <w:t xml:space="preserve">1,1 </w:t>
      </w:r>
      <w:r w:rsidRPr="00C4422F">
        <w:rPr>
          <w:rFonts w:ascii="Times New Roman" w:hAnsi="Times New Roman" w:cs="Times New Roman"/>
          <w:sz w:val="20"/>
          <w:szCs w:val="20"/>
        </w:rPr>
        <w:t>miljonit eurot (+</w:t>
      </w:r>
      <w:r w:rsidR="006966DF" w:rsidRPr="00C4422F">
        <w:rPr>
          <w:rFonts w:ascii="Times New Roman" w:hAnsi="Times New Roman" w:cs="Times New Roman"/>
          <w:sz w:val="20"/>
          <w:szCs w:val="20"/>
        </w:rPr>
        <w:t>5,3</w:t>
      </w:r>
      <w:r w:rsidRPr="00C4422F">
        <w:rPr>
          <w:rFonts w:ascii="Times New Roman" w:hAnsi="Times New Roman" w:cs="Times New Roman"/>
          <w:sz w:val="20"/>
          <w:szCs w:val="20"/>
        </w:rPr>
        <w:t xml:space="preserve">%), millest </w:t>
      </w:r>
      <w:r w:rsidR="00A73D01" w:rsidRPr="00C4422F">
        <w:rPr>
          <w:rFonts w:ascii="Times New Roman" w:hAnsi="Times New Roman" w:cs="Times New Roman"/>
          <w:sz w:val="20"/>
          <w:szCs w:val="20"/>
        </w:rPr>
        <w:t>76</w:t>
      </w:r>
      <w:r w:rsidRPr="00C4422F">
        <w:rPr>
          <w:rFonts w:ascii="Times New Roman" w:hAnsi="Times New Roman" w:cs="Times New Roman"/>
          <w:sz w:val="20"/>
          <w:szCs w:val="20"/>
        </w:rPr>
        <w:t xml:space="preserve">% ehk </w:t>
      </w:r>
      <w:r w:rsidR="00A73D01" w:rsidRPr="00C4422F">
        <w:rPr>
          <w:rFonts w:ascii="Times New Roman" w:hAnsi="Times New Roman" w:cs="Times New Roman"/>
          <w:sz w:val="20"/>
          <w:szCs w:val="20"/>
        </w:rPr>
        <w:t xml:space="preserve">0,8 </w:t>
      </w:r>
      <w:r w:rsidRPr="00C4422F">
        <w:rPr>
          <w:rFonts w:ascii="Times New Roman" w:hAnsi="Times New Roman" w:cs="Times New Roman"/>
          <w:sz w:val="20"/>
          <w:szCs w:val="20"/>
        </w:rPr>
        <w:t xml:space="preserve">miljonit eurot moodustavad </w:t>
      </w:r>
      <w:r w:rsidR="00A73D01" w:rsidRPr="00C4422F">
        <w:rPr>
          <w:rFonts w:ascii="Times New Roman" w:hAnsi="Times New Roman" w:cs="Times New Roman"/>
          <w:sz w:val="20"/>
          <w:szCs w:val="20"/>
        </w:rPr>
        <w:t>kultuuriasutuste (</w:t>
      </w:r>
      <w:r w:rsidR="006966DF" w:rsidRPr="00C4422F">
        <w:rPr>
          <w:rFonts w:ascii="Times New Roman" w:hAnsi="Times New Roman" w:cs="Times New Roman"/>
          <w:sz w:val="20"/>
          <w:szCs w:val="20"/>
        </w:rPr>
        <w:t xml:space="preserve">koolituskeskuse, </w:t>
      </w:r>
      <w:r w:rsidR="00A73D01" w:rsidRPr="00C4422F">
        <w:rPr>
          <w:rFonts w:ascii="Times New Roman" w:hAnsi="Times New Roman" w:cs="Times New Roman"/>
          <w:sz w:val="20"/>
          <w:szCs w:val="20"/>
        </w:rPr>
        <w:t xml:space="preserve">spordikompleksi, </w:t>
      </w:r>
      <w:r w:rsidRPr="00C4422F">
        <w:rPr>
          <w:rFonts w:ascii="Times New Roman" w:hAnsi="Times New Roman" w:cs="Times New Roman"/>
          <w:sz w:val="20"/>
          <w:szCs w:val="20"/>
        </w:rPr>
        <w:t>raamatukogude,</w:t>
      </w:r>
      <w:r w:rsidR="006966DF" w:rsidRPr="00C4422F">
        <w:rPr>
          <w:rFonts w:ascii="Times New Roman" w:hAnsi="Times New Roman" w:cs="Times New Roman"/>
          <w:sz w:val="20"/>
          <w:szCs w:val="20"/>
        </w:rPr>
        <w:t xml:space="preserve"> rahvamaja</w:t>
      </w:r>
      <w:r w:rsidRPr="00C4422F">
        <w:rPr>
          <w:rFonts w:ascii="Times New Roman" w:hAnsi="Times New Roman" w:cs="Times New Roman"/>
          <w:sz w:val="20"/>
          <w:szCs w:val="20"/>
        </w:rPr>
        <w:t>maja</w:t>
      </w:r>
      <w:r w:rsidR="00A73D01" w:rsidRPr="00C4422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22F">
        <w:rPr>
          <w:rFonts w:ascii="Times New Roman" w:hAnsi="Times New Roman" w:cs="Times New Roman"/>
          <w:sz w:val="20"/>
          <w:szCs w:val="20"/>
        </w:rPr>
        <w:t>noortekeskuste</w:t>
      </w:r>
      <w:proofErr w:type="spellEnd"/>
      <w:r w:rsidR="00A73D01" w:rsidRPr="00C4422F">
        <w:rPr>
          <w:rFonts w:ascii="Times New Roman" w:hAnsi="Times New Roman" w:cs="Times New Roman"/>
          <w:sz w:val="20"/>
          <w:szCs w:val="20"/>
        </w:rPr>
        <w:t xml:space="preserve">, </w:t>
      </w:r>
      <w:r w:rsidRPr="00C4422F">
        <w:rPr>
          <w:rFonts w:ascii="Times New Roman" w:hAnsi="Times New Roman" w:cs="Times New Roman"/>
          <w:sz w:val="20"/>
          <w:szCs w:val="20"/>
        </w:rPr>
        <w:t xml:space="preserve"> </w:t>
      </w:r>
      <w:r w:rsidR="00A73D01" w:rsidRPr="00C4422F">
        <w:rPr>
          <w:rFonts w:ascii="Times New Roman" w:hAnsi="Times New Roman" w:cs="Times New Roman"/>
          <w:sz w:val="20"/>
          <w:szCs w:val="20"/>
        </w:rPr>
        <w:t xml:space="preserve">muuseumi) </w:t>
      </w:r>
      <w:r w:rsidRPr="00C4422F">
        <w:rPr>
          <w:rFonts w:ascii="Times New Roman" w:hAnsi="Times New Roman" w:cs="Times New Roman"/>
          <w:sz w:val="20"/>
          <w:szCs w:val="20"/>
        </w:rPr>
        <w:t>tegevuskulud</w:t>
      </w:r>
      <w:r w:rsidR="00A73D01" w:rsidRPr="00C4422F">
        <w:rPr>
          <w:rFonts w:ascii="Times New Roman" w:hAnsi="Times New Roman" w:cs="Times New Roman"/>
          <w:sz w:val="20"/>
          <w:szCs w:val="20"/>
        </w:rPr>
        <w:t xml:space="preserve"> ning 17% spordi ja vabaajategevusega seotud kulud</w:t>
      </w:r>
      <w:r w:rsidRPr="00C4422F">
        <w:rPr>
          <w:rFonts w:ascii="Times New Roman" w:hAnsi="Times New Roman" w:cs="Times New Roman"/>
          <w:sz w:val="20"/>
          <w:szCs w:val="20"/>
        </w:rPr>
        <w:t>;</w:t>
      </w:r>
    </w:p>
    <w:p w:rsidR="000632B5" w:rsidRDefault="000632B5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Sotsiaalne kaitse</w:t>
      </w:r>
      <w:r>
        <w:rPr>
          <w:rFonts w:ascii="Times New Roman" w:hAnsi="Times New Roman" w:cs="Times New Roman"/>
          <w:sz w:val="20"/>
          <w:szCs w:val="20"/>
        </w:rPr>
        <w:t xml:space="preserve"> 0,6 miljonit eurot, millest </w:t>
      </w:r>
      <w:r w:rsidR="003800FF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>% ehk 0,</w:t>
      </w:r>
      <w:r w:rsidR="003800FF"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 xml:space="preserve"> miljonit eurot (+</w:t>
      </w:r>
      <w:r w:rsidR="003800FF">
        <w:rPr>
          <w:rFonts w:ascii="Times New Roman" w:hAnsi="Times New Roman" w:cs="Times New Roman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>%) suunatakse vanurite ja puudega isikute hooldekodude kohamaksu tasumiseks</w:t>
      </w:r>
      <w:r w:rsidR="003800FF">
        <w:rPr>
          <w:rFonts w:ascii="Times New Roman" w:hAnsi="Times New Roman" w:cs="Times New Roman"/>
          <w:sz w:val="20"/>
          <w:szCs w:val="20"/>
        </w:rPr>
        <w:t xml:space="preserve"> ja muudeks kuludeks, 32% ehk 0,2 miljonit eurot (+7,5%) perede toetuseks, sh laste päevahoiutoetused, 29% ehk 0,18 miljonit eurot (+33%) riiklikuks toimetuleku- ja täiendavateks toetusteks riskirühmadele</w:t>
      </w:r>
    </w:p>
    <w:p w:rsidR="00F143C6" w:rsidRDefault="00F143C6" w:rsidP="005030C7">
      <w:pPr>
        <w:pStyle w:val="Loendilik"/>
        <w:ind w:left="180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Ülejäänud </w:t>
      </w:r>
      <w:r w:rsidR="003800FF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% põhitegevuse kuludest ehk </w:t>
      </w:r>
      <w:r w:rsidR="003800F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,5 miljonit eurot (+</w:t>
      </w:r>
      <w:r w:rsidR="003800FF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%) jaguneb </w:t>
      </w:r>
      <w:r w:rsidR="003800FF">
        <w:rPr>
          <w:rFonts w:ascii="Times New Roman" w:hAnsi="Times New Roman" w:cs="Times New Roman"/>
          <w:sz w:val="20"/>
          <w:szCs w:val="20"/>
        </w:rPr>
        <w:t>kuue</w:t>
      </w:r>
      <w:r>
        <w:rPr>
          <w:rFonts w:ascii="Times New Roman" w:hAnsi="Times New Roman" w:cs="Times New Roman"/>
          <w:sz w:val="20"/>
          <w:szCs w:val="20"/>
        </w:rPr>
        <w:t xml:space="preserve"> valdkonna vahel järgmiselt:</w:t>
      </w:r>
    </w:p>
    <w:p w:rsidR="00F143C6" w:rsidRDefault="00F143C6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Majandus</w:t>
      </w:r>
      <w:r w:rsidR="003800FF">
        <w:rPr>
          <w:rFonts w:ascii="Times New Roman" w:hAnsi="Times New Roman" w:cs="Times New Roman"/>
          <w:sz w:val="20"/>
          <w:szCs w:val="20"/>
        </w:rPr>
        <w:t xml:space="preserve"> 0</w:t>
      </w:r>
      <w:r>
        <w:rPr>
          <w:rFonts w:ascii="Times New Roman" w:hAnsi="Times New Roman" w:cs="Times New Roman"/>
          <w:sz w:val="20"/>
          <w:szCs w:val="20"/>
        </w:rPr>
        <w:t xml:space="preserve">,5 miljonit eurot, millest </w:t>
      </w:r>
      <w:r w:rsidR="00327BC1">
        <w:rPr>
          <w:rFonts w:ascii="Times New Roman" w:hAnsi="Times New Roman" w:cs="Times New Roman"/>
          <w:sz w:val="20"/>
          <w:szCs w:val="20"/>
        </w:rPr>
        <w:t>54</w:t>
      </w:r>
      <w:r>
        <w:rPr>
          <w:rFonts w:ascii="Times New Roman" w:hAnsi="Times New Roman" w:cs="Times New Roman"/>
          <w:sz w:val="20"/>
          <w:szCs w:val="20"/>
        </w:rPr>
        <w:t xml:space="preserve">% ehk </w:t>
      </w:r>
      <w:r w:rsidR="00327BC1">
        <w:rPr>
          <w:rFonts w:ascii="Times New Roman" w:hAnsi="Times New Roman" w:cs="Times New Roman"/>
          <w:sz w:val="20"/>
          <w:szCs w:val="20"/>
        </w:rPr>
        <w:t>0,3</w:t>
      </w:r>
      <w:r>
        <w:rPr>
          <w:rFonts w:ascii="Times New Roman" w:hAnsi="Times New Roman" w:cs="Times New Roman"/>
          <w:sz w:val="20"/>
          <w:szCs w:val="20"/>
        </w:rPr>
        <w:t xml:space="preserve"> miljonit eurot</w:t>
      </w:r>
      <w:r w:rsidR="00327BC1">
        <w:rPr>
          <w:rFonts w:ascii="Times New Roman" w:hAnsi="Times New Roman" w:cs="Times New Roman"/>
          <w:sz w:val="20"/>
          <w:szCs w:val="20"/>
        </w:rPr>
        <w:t>, mis on jäänud võrreldes 2015. aastaga samaks,</w:t>
      </w:r>
      <w:r>
        <w:rPr>
          <w:rFonts w:ascii="Times New Roman" w:hAnsi="Times New Roman" w:cs="Times New Roman"/>
          <w:sz w:val="20"/>
          <w:szCs w:val="20"/>
        </w:rPr>
        <w:t xml:space="preserve"> moodustab teede ja tänavate korrashoid;</w:t>
      </w:r>
    </w:p>
    <w:p w:rsidR="00E541E7" w:rsidRPr="00E541E7" w:rsidRDefault="00E541E7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Elamu- ja kommunaalmajandus</w:t>
      </w:r>
      <w:r w:rsidR="00380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00FF">
        <w:rPr>
          <w:rFonts w:ascii="Times New Roman" w:hAnsi="Times New Roman" w:cs="Times New Roman"/>
          <w:sz w:val="20"/>
          <w:szCs w:val="20"/>
        </w:rPr>
        <w:t xml:space="preserve">moodustab </w:t>
      </w:r>
      <w:r w:rsidR="00177D94">
        <w:rPr>
          <w:rFonts w:ascii="Times New Roman" w:hAnsi="Times New Roman" w:cs="Times New Roman"/>
          <w:sz w:val="20"/>
          <w:szCs w:val="20"/>
        </w:rPr>
        <w:t>3</w:t>
      </w:r>
      <w:r w:rsidR="003800FF">
        <w:rPr>
          <w:rFonts w:ascii="Times New Roman" w:hAnsi="Times New Roman" w:cs="Times New Roman"/>
          <w:sz w:val="20"/>
          <w:szCs w:val="20"/>
        </w:rPr>
        <w:t xml:space="preserve">% ehk </w:t>
      </w:r>
      <w:r w:rsidR="00177D94">
        <w:rPr>
          <w:rFonts w:ascii="Times New Roman" w:hAnsi="Times New Roman" w:cs="Times New Roman"/>
          <w:sz w:val="20"/>
          <w:szCs w:val="20"/>
        </w:rPr>
        <w:t>0,2 miljonit eurot (+26%). Kulusid suurenda</w:t>
      </w:r>
      <w:r w:rsidR="00EA10E3">
        <w:rPr>
          <w:rFonts w:ascii="Times New Roman" w:hAnsi="Times New Roman" w:cs="Times New Roman"/>
          <w:sz w:val="20"/>
          <w:szCs w:val="20"/>
        </w:rPr>
        <w:t>vad</w:t>
      </w:r>
      <w:r w:rsidR="00177D94">
        <w:rPr>
          <w:rFonts w:ascii="Times New Roman" w:hAnsi="Times New Roman" w:cs="Times New Roman"/>
          <w:sz w:val="20"/>
          <w:szCs w:val="20"/>
        </w:rPr>
        <w:t xml:space="preserve"> enim  </w:t>
      </w:r>
      <w:r w:rsidR="00EA10E3">
        <w:rPr>
          <w:rFonts w:ascii="Times New Roman" w:hAnsi="Times New Roman" w:cs="Times New Roman"/>
          <w:sz w:val="20"/>
          <w:szCs w:val="20"/>
        </w:rPr>
        <w:t>sotsiaalelamu ja valla eluruumide  remondiks suunatud vahendid ning 2015. aastast ületulevad hajaasustuse programmi toetuste summad.</w:t>
      </w:r>
    </w:p>
    <w:p w:rsidR="003800FF" w:rsidRDefault="00E541E7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Keskkonnakaitse kulud </w:t>
      </w:r>
      <w:r w:rsidRPr="00E541E7">
        <w:rPr>
          <w:rFonts w:ascii="Times New Roman" w:hAnsi="Times New Roman" w:cs="Times New Roman"/>
          <w:sz w:val="20"/>
          <w:szCs w:val="20"/>
        </w:rPr>
        <w:t>0,2 miljonit eurot</w:t>
      </w:r>
      <w:r>
        <w:rPr>
          <w:rFonts w:ascii="Times New Roman" w:hAnsi="Times New Roman" w:cs="Times New Roman"/>
          <w:sz w:val="20"/>
          <w:szCs w:val="20"/>
        </w:rPr>
        <w:t>, 3% kuludest (+16%), suurim kulu heakorrale ja bioloogilisele kaitsele.</w:t>
      </w:r>
    </w:p>
    <w:p w:rsidR="00E541E7" w:rsidRPr="00E541E7" w:rsidRDefault="00177D94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Muud</w:t>
      </w:r>
      <w:r>
        <w:rPr>
          <w:rFonts w:ascii="Times New Roman" w:hAnsi="Times New Roman" w:cs="Times New Roman"/>
          <w:sz w:val="20"/>
          <w:szCs w:val="20"/>
        </w:rPr>
        <w:t xml:space="preserve"> ehk 0,</w:t>
      </w:r>
      <w:r w:rsidR="00E541E7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miljonit eurot (+</w:t>
      </w:r>
      <w:r w:rsidR="00E541E7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%) jaguneb vallavalitsuse hoone ja personalikulude (0,</w:t>
      </w:r>
      <w:r w:rsidR="00E541E7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miljonit eurot)</w:t>
      </w:r>
      <w:r w:rsidR="00E541E7">
        <w:rPr>
          <w:rFonts w:ascii="Times New Roman" w:hAnsi="Times New Roman" w:cs="Times New Roman"/>
          <w:sz w:val="20"/>
          <w:szCs w:val="20"/>
        </w:rPr>
        <w:t>, avalikule korrale ja tervishoiule.</w:t>
      </w:r>
    </w:p>
    <w:p w:rsidR="00177D94" w:rsidRPr="00E541E7" w:rsidRDefault="00E541E7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</w:t>
      </w:r>
      <w:r w:rsidR="00E078DC"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rvfond</w:t>
      </w:r>
      <w:r w:rsidR="00E078D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078DC">
        <w:rPr>
          <w:rFonts w:ascii="Times New Roman" w:hAnsi="Times New Roman" w:cs="Times New Roman"/>
          <w:sz w:val="20"/>
          <w:szCs w:val="20"/>
        </w:rPr>
        <w:t>millest valitsus teeb eraldisi ettenägematuteks kuludeks,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541E7">
        <w:rPr>
          <w:rFonts w:ascii="Times New Roman" w:hAnsi="Times New Roman" w:cs="Times New Roman"/>
          <w:sz w:val="20"/>
          <w:szCs w:val="20"/>
        </w:rPr>
        <w:t>on 0,1 miljonit eurot</w:t>
      </w:r>
      <w:r w:rsidR="00177D94" w:rsidRPr="00E541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ja moodustab põhitegevuse kuludest 1,4%.</w:t>
      </w:r>
    </w:p>
    <w:p w:rsidR="00F143C6" w:rsidRDefault="00F143C6" w:rsidP="005030C7">
      <w:pPr>
        <w:pStyle w:val="Loendili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Majandamis- ja personalikulud tervikuna moodustavad </w:t>
      </w:r>
      <w:r w:rsidR="00A74929">
        <w:rPr>
          <w:rFonts w:ascii="Times New Roman" w:hAnsi="Times New Roman" w:cs="Times New Roman"/>
          <w:sz w:val="20"/>
          <w:szCs w:val="20"/>
        </w:rPr>
        <w:t>põhitegevuse kuludest 90</w:t>
      </w:r>
      <w:r>
        <w:rPr>
          <w:rFonts w:ascii="Times New Roman" w:hAnsi="Times New Roman" w:cs="Times New Roman"/>
          <w:sz w:val="20"/>
          <w:szCs w:val="20"/>
        </w:rPr>
        <w:t xml:space="preserve">% ehk </w:t>
      </w:r>
      <w:r w:rsidR="00A74929">
        <w:rPr>
          <w:rFonts w:ascii="Times New Roman" w:hAnsi="Times New Roman" w:cs="Times New Roman"/>
          <w:sz w:val="20"/>
          <w:szCs w:val="20"/>
        </w:rPr>
        <w:t>6,7</w:t>
      </w:r>
      <w:r>
        <w:rPr>
          <w:rFonts w:ascii="Times New Roman" w:hAnsi="Times New Roman" w:cs="Times New Roman"/>
          <w:sz w:val="20"/>
          <w:szCs w:val="20"/>
        </w:rPr>
        <w:t xml:space="preserve"> miljonit eurot, </w:t>
      </w:r>
      <w:r w:rsidR="00A74929">
        <w:rPr>
          <w:rFonts w:ascii="Times New Roman" w:hAnsi="Times New Roman" w:cs="Times New Roman"/>
          <w:sz w:val="20"/>
          <w:szCs w:val="20"/>
        </w:rPr>
        <w:t>kasva</w:t>
      </w:r>
      <w:r>
        <w:rPr>
          <w:rFonts w:ascii="Times New Roman" w:hAnsi="Times New Roman" w:cs="Times New Roman"/>
          <w:sz w:val="20"/>
          <w:szCs w:val="20"/>
        </w:rPr>
        <w:t>des 1</w:t>
      </w:r>
      <w:r w:rsidR="00A7492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%. Antavad toetused moodusta</w:t>
      </w:r>
      <w:r w:rsidR="00A74929">
        <w:rPr>
          <w:rFonts w:ascii="Times New Roman" w:hAnsi="Times New Roman" w:cs="Times New Roman"/>
          <w:sz w:val="20"/>
          <w:szCs w:val="20"/>
        </w:rPr>
        <w:t>vad 8</w:t>
      </w:r>
      <w:r>
        <w:rPr>
          <w:rFonts w:ascii="Times New Roman" w:hAnsi="Times New Roman" w:cs="Times New Roman"/>
          <w:sz w:val="20"/>
          <w:szCs w:val="20"/>
        </w:rPr>
        <w:t>% ehk 0,</w:t>
      </w:r>
      <w:r w:rsidR="00A74929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miljonit eurot, kasvades </w:t>
      </w:r>
      <w:r w:rsidR="00A74929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%. </w:t>
      </w:r>
      <w:r w:rsidR="00A74929">
        <w:rPr>
          <w:rFonts w:ascii="Times New Roman" w:hAnsi="Times New Roman" w:cs="Times New Roman"/>
          <w:sz w:val="20"/>
          <w:szCs w:val="20"/>
        </w:rPr>
        <w:t>Suurim kasv</w:t>
      </w:r>
      <w:r w:rsidR="000315EA">
        <w:rPr>
          <w:rFonts w:ascii="Times New Roman" w:hAnsi="Times New Roman" w:cs="Times New Roman"/>
          <w:sz w:val="20"/>
          <w:szCs w:val="20"/>
        </w:rPr>
        <w:t>, mis seotud toimetulekupiiri tõstmisega 130 eurole,</w:t>
      </w:r>
      <w:r w:rsidR="00A74929">
        <w:rPr>
          <w:rFonts w:ascii="Times New Roman" w:hAnsi="Times New Roman" w:cs="Times New Roman"/>
          <w:sz w:val="20"/>
          <w:szCs w:val="20"/>
        </w:rPr>
        <w:t xml:space="preserve"> on riiklikul toimetulekutoetusel, mille summa vastab riigitoetuse eraldisele, kuhu on liidetud eelmise aasta jääk.</w:t>
      </w:r>
    </w:p>
    <w:p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:rsidR="005030C7" w:rsidRDefault="005030C7" w:rsidP="005030C7">
      <w:pPr>
        <w:pStyle w:val="Joonis"/>
        <w:contextualSpacing/>
        <w:rPr>
          <w:rFonts w:ascii="Times New Roman" w:hAnsi="Times New Roman" w:cs="Times New Roman"/>
        </w:rPr>
      </w:pPr>
    </w:p>
    <w:p w:rsidR="005030C7" w:rsidRDefault="005030C7" w:rsidP="005030C7">
      <w:pPr>
        <w:pStyle w:val="Joonis"/>
        <w:contextualSpacing/>
        <w:rPr>
          <w:rFonts w:ascii="Times New Roman" w:hAnsi="Times New Roman" w:cs="Times New Roman"/>
        </w:rPr>
      </w:pPr>
    </w:p>
    <w:p w:rsidR="005030C7" w:rsidRDefault="005030C7" w:rsidP="005030C7">
      <w:pPr>
        <w:pStyle w:val="Joonis"/>
        <w:contextualSpacing/>
        <w:rPr>
          <w:rFonts w:ascii="Times New Roman" w:hAnsi="Times New Roman" w:cs="Times New Roman"/>
        </w:rPr>
      </w:pPr>
    </w:p>
    <w:p w:rsidR="005030C7" w:rsidRDefault="005030C7" w:rsidP="005030C7">
      <w:pPr>
        <w:pStyle w:val="Joonis"/>
        <w:contextualSpacing/>
        <w:rPr>
          <w:rFonts w:ascii="Times New Roman" w:hAnsi="Times New Roman" w:cs="Times New Roman"/>
        </w:rPr>
      </w:pPr>
    </w:p>
    <w:p w:rsidR="005030C7" w:rsidRDefault="005030C7" w:rsidP="005030C7">
      <w:pPr>
        <w:pStyle w:val="Joonis"/>
        <w:contextualSpacing/>
        <w:rPr>
          <w:rFonts w:ascii="Times New Roman" w:hAnsi="Times New Roman" w:cs="Times New Roman"/>
        </w:rPr>
      </w:pPr>
    </w:p>
    <w:p w:rsidR="005030C7" w:rsidRDefault="005030C7" w:rsidP="005030C7">
      <w:pPr>
        <w:pStyle w:val="Joonis"/>
        <w:contextualSpacing/>
        <w:rPr>
          <w:rFonts w:ascii="Times New Roman" w:hAnsi="Times New Roman" w:cs="Times New Roman"/>
        </w:rPr>
      </w:pPr>
    </w:p>
    <w:p w:rsidR="00F143C6" w:rsidRDefault="00F143C6" w:rsidP="005030C7">
      <w:pPr>
        <w:pStyle w:val="Joonis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Joonis 1. Põhitegevuse kulud majandusliku sisu alusel valdkonniti 201</w:t>
      </w:r>
      <w:r w:rsidR="00E3071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E30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aastal võrreldes 201</w:t>
      </w:r>
      <w:r w:rsidR="00E3071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E30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aasta eelarve täitmisega (tuhat eurot)</w:t>
      </w:r>
    </w:p>
    <w:p w:rsidR="00F143C6" w:rsidRDefault="00E30711" w:rsidP="005030C7">
      <w:pPr>
        <w:contextualSpacing/>
        <w:jc w:val="both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>
        <w:rPr>
          <w:noProof/>
          <w:lang w:eastAsia="et-EE"/>
        </w:rPr>
        <w:lastRenderedPageBreak/>
        <w:drawing>
          <wp:inline distT="0" distB="0" distL="0" distR="0" wp14:anchorId="6051BB5C" wp14:editId="0A1A2207">
            <wp:extent cx="5760720" cy="3552825"/>
            <wp:effectExtent l="0" t="0" r="11430" b="9525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43C6" w:rsidRDefault="00F143C6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Investeerimistegevus</w:t>
      </w:r>
    </w:p>
    <w:p w:rsidR="005030C7" w:rsidRDefault="005030C7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05367A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05367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aasta eelarves on planeeritud investeeringukulud </w:t>
      </w:r>
      <w:r w:rsidR="0005367A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eurot, mis on </w:t>
      </w:r>
      <w:r w:rsidR="0005367A">
        <w:rPr>
          <w:rFonts w:ascii="Times New Roman" w:hAnsi="Times New Roman" w:cs="Times New Roman"/>
          <w:b/>
          <w:sz w:val="20"/>
          <w:szCs w:val="20"/>
        </w:rPr>
        <w:t>1,4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 ehk </w:t>
      </w:r>
      <w:r w:rsidR="0005367A">
        <w:rPr>
          <w:rFonts w:ascii="Times New Roman" w:hAnsi="Times New Roman" w:cs="Times New Roman"/>
          <w:b/>
          <w:sz w:val="20"/>
          <w:szCs w:val="20"/>
        </w:rPr>
        <w:t>2,3 korda rohkem</w:t>
      </w:r>
      <w:r>
        <w:rPr>
          <w:rFonts w:ascii="Times New Roman" w:hAnsi="Times New Roman" w:cs="Times New Roman"/>
          <w:b/>
          <w:sz w:val="20"/>
          <w:szCs w:val="20"/>
        </w:rPr>
        <w:t xml:space="preserve"> kui 2014.</w:t>
      </w:r>
      <w:r w:rsidR="0005367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aastal.</w:t>
      </w: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Investeeringud koosnevad:</w:t>
      </w:r>
    </w:p>
    <w:p w:rsidR="004A60A0" w:rsidRDefault="00F143C6" w:rsidP="005030C7">
      <w:pPr>
        <w:pStyle w:val="Loendilik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60A0">
        <w:rPr>
          <w:rFonts w:ascii="Times New Roman" w:hAnsi="Times New Roman" w:cs="Times New Roman"/>
          <w:b/>
          <w:sz w:val="20"/>
          <w:szCs w:val="20"/>
        </w:rPr>
        <w:t>Põhivara soetusest</w:t>
      </w:r>
      <w:r w:rsidRPr="004A60A0">
        <w:rPr>
          <w:rFonts w:ascii="Times New Roman" w:hAnsi="Times New Roman" w:cs="Times New Roman"/>
          <w:sz w:val="20"/>
          <w:szCs w:val="20"/>
        </w:rPr>
        <w:t xml:space="preserve">, mis moodustab </w:t>
      </w:r>
      <w:r w:rsidR="0005367A" w:rsidRPr="004A60A0">
        <w:rPr>
          <w:rFonts w:ascii="Times New Roman" w:hAnsi="Times New Roman" w:cs="Times New Roman"/>
          <w:sz w:val="20"/>
          <w:szCs w:val="20"/>
        </w:rPr>
        <w:t>85%</w:t>
      </w:r>
      <w:r w:rsidRPr="004A60A0">
        <w:rPr>
          <w:rFonts w:ascii="Times New Roman" w:hAnsi="Times New Roman" w:cs="Times New Roman"/>
          <w:sz w:val="20"/>
          <w:szCs w:val="20"/>
        </w:rPr>
        <w:t xml:space="preserve"> ehk </w:t>
      </w:r>
      <w:r w:rsidR="0005367A" w:rsidRPr="004A60A0">
        <w:rPr>
          <w:rFonts w:ascii="Times New Roman" w:hAnsi="Times New Roman" w:cs="Times New Roman"/>
          <w:sz w:val="20"/>
          <w:szCs w:val="20"/>
        </w:rPr>
        <w:t>1,7</w:t>
      </w:r>
      <w:r w:rsidRPr="004A60A0">
        <w:rPr>
          <w:rFonts w:ascii="Times New Roman" w:hAnsi="Times New Roman" w:cs="Times New Roman"/>
          <w:sz w:val="20"/>
          <w:szCs w:val="20"/>
        </w:rPr>
        <w:t xml:space="preserve"> miljonit eurot</w:t>
      </w:r>
      <w:r w:rsidR="004A60A0" w:rsidRPr="004A60A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143C6" w:rsidRPr="004A60A0" w:rsidRDefault="00F143C6" w:rsidP="005030C7">
      <w:pPr>
        <w:pStyle w:val="Loendilik"/>
        <w:ind w:left="1481"/>
        <w:jc w:val="both"/>
        <w:rPr>
          <w:rFonts w:ascii="Times New Roman" w:hAnsi="Times New Roman" w:cs="Times New Roman"/>
          <w:sz w:val="20"/>
          <w:szCs w:val="20"/>
        </w:rPr>
      </w:pPr>
      <w:r w:rsidRPr="004A60A0">
        <w:rPr>
          <w:rFonts w:ascii="Times New Roman" w:hAnsi="Times New Roman" w:cs="Times New Roman"/>
          <w:sz w:val="20"/>
          <w:szCs w:val="20"/>
        </w:rPr>
        <w:t>Suurimad investeeringuobjektid on:</w:t>
      </w:r>
    </w:p>
    <w:p w:rsidR="00F143C6" w:rsidRPr="005D2F95" w:rsidRDefault="004A60A0" w:rsidP="005030C7">
      <w:pPr>
        <w:pStyle w:val="Loendilik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Kohila Gümnaasiumi juurdeehitus 0,6 miljonit eurot;</w:t>
      </w:r>
    </w:p>
    <w:p w:rsidR="00F143C6" w:rsidRPr="005D2F95" w:rsidRDefault="004A60A0" w:rsidP="005030C7">
      <w:pPr>
        <w:pStyle w:val="Loendilik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Kohila-Hageri-Sutlema kergtee projekteerimine ja ehitus omaosalusega 0,2 </w:t>
      </w:r>
      <w:r w:rsidR="00F143C6" w:rsidRPr="005D2F95">
        <w:rPr>
          <w:rFonts w:ascii="Times New Roman" w:hAnsi="Times New Roman" w:cs="Times New Roman"/>
          <w:b/>
          <w:sz w:val="20"/>
          <w:szCs w:val="20"/>
        </w:rPr>
        <w:t xml:space="preserve"> miljonit eurot</w:t>
      </w:r>
      <w:r>
        <w:rPr>
          <w:rFonts w:ascii="Times New Roman" w:hAnsi="Times New Roman" w:cs="Times New Roman"/>
          <w:b/>
          <w:sz w:val="20"/>
          <w:szCs w:val="20"/>
        </w:rPr>
        <w:t>, oodatav toetus 1,1 miljonit eurot</w:t>
      </w:r>
      <w:r w:rsidR="00F143C6" w:rsidRPr="005D2F95">
        <w:rPr>
          <w:rFonts w:ascii="Times New Roman" w:hAnsi="Times New Roman" w:cs="Times New Roman"/>
          <w:b/>
          <w:sz w:val="20"/>
          <w:szCs w:val="20"/>
        </w:rPr>
        <w:t>;</w:t>
      </w:r>
    </w:p>
    <w:p w:rsidR="00703B27" w:rsidRPr="005D2F95" w:rsidRDefault="00703B27" w:rsidP="005030C7">
      <w:pPr>
        <w:pStyle w:val="Loendilik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Ülejõe vabaaja- ja Tervisekeskuse rajamine 0,2 miljonit eurot.</w:t>
      </w:r>
    </w:p>
    <w:p w:rsidR="0005367A" w:rsidRPr="0005367A" w:rsidRDefault="0005367A" w:rsidP="005030C7">
      <w:pPr>
        <w:pStyle w:val="Loendilik"/>
        <w:ind w:left="2201"/>
        <w:jc w:val="both"/>
        <w:rPr>
          <w:rFonts w:ascii="Times New Roman" w:hAnsi="Times New Roman" w:cs="Times New Roman"/>
          <w:sz w:val="20"/>
          <w:szCs w:val="20"/>
        </w:rPr>
      </w:pPr>
    </w:p>
    <w:p w:rsidR="0005367A" w:rsidRDefault="003F44CB" w:rsidP="005030C7">
      <w:pPr>
        <w:pStyle w:val="Loendilik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Antavast</w:t>
      </w:r>
      <w:r w:rsidR="0005367A">
        <w:rPr>
          <w:rFonts w:ascii="Times New Roman" w:hAnsi="Times New Roman" w:cs="Times New Roman"/>
          <w:b/>
          <w:sz w:val="20"/>
          <w:szCs w:val="20"/>
        </w:rPr>
        <w:t xml:space="preserve"> toetusest põhivara soetamiseks </w:t>
      </w:r>
      <w:r w:rsidR="0005367A" w:rsidRPr="0005367A">
        <w:rPr>
          <w:rFonts w:ascii="Times New Roman" w:hAnsi="Times New Roman" w:cs="Times New Roman"/>
          <w:sz w:val="20"/>
          <w:szCs w:val="20"/>
        </w:rPr>
        <w:t>0,3 miljonit eurot valla tütarettevõttele Kohila Maja OÜ</w:t>
      </w:r>
      <w:r w:rsidR="0005367A">
        <w:rPr>
          <w:rFonts w:ascii="Times New Roman" w:hAnsi="Times New Roman" w:cs="Times New Roman"/>
          <w:sz w:val="20"/>
          <w:szCs w:val="20"/>
        </w:rPr>
        <w:t xml:space="preserve">, millega suurendatakse omakapitali ning </w:t>
      </w:r>
      <w:r>
        <w:rPr>
          <w:rFonts w:ascii="Times New Roman" w:hAnsi="Times New Roman" w:cs="Times New Roman"/>
          <w:sz w:val="20"/>
          <w:szCs w:val="20"/>
        </w:rPr>
        <w:t>sihtotstarve on</w:t>
      </w:r>
      <w:r w:rsidR="0005367A">
        <w:rPr>
          <w:rFonts w:ascii="Times New Roman" w:hAnsi="Times New Roman" w:cs="Times New Roman"/>
          <w:sz w:val="20"/>
          <w:szCs w:val="20"/>
        </w:rPr>
        <w:t xml:space="preserve"> vee- ja kanalisatsioonitrasside rajami</w:t>
      </w:r>
      <w:r>
        <w:rPr>
          <w:rFonts w:ascii="Times New Roman" w:hAnsi="Times New Roman" w:cs="Times New Roman"/>
          <w:sz w:val="20"/>
          <w:szCs w:val="20"/>
        </w:rPr>
        <w:t>ne</w:t>
      </w:r>
      <w:r w:rsidR="0005367A">
        <w:rPr>
          <w:rFonts w:ascii="Times New Roman" w:hAnsi="Times New Roman" w:cs="Times New Roman"/>
          <w:sz w:val="20"/>
          <w:szCs w:val="20"/>
        </w:rPr>
        <w:t>.</w:t>
      </w:r>
    </w:p>
    <w:p w:rsidR="00F143C6" w:rsidRDefault="00F143C6" w:rsidP="005030C7">
      <w:pPr>
        <w:pStyle w:val="Loendilik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Intressikuludest </w:t>
      </w:r>
      <w:r>
        <w:rPr>
          <w:rFonts w:ascii="Times New Roman" w:hAnsi="Times New Roman" w:cs="Times New Roman"/>
          <w:sz w:val="20"/>
          <w:szCs w:val="20"/>
        </w:rPr>
        <w:t>0,</w:t>
      </w:r>
      <w:r w:rsidR="0005367A">
        <w:rPr>
          <w:rFonts w:ascii="Times New Roman" w:hAnsi="Times New Roman" w:cs="Times New Roman"/>
          <w:sz w:val="20"/>
          <w:szCs w:val="20"/>
        </w:rPr>
        <w:t>04</w:t>
      </w:r>
      <w:r>
        <w:rPr>
          <w:rFonts w:ascii="Times New Roman" w:hAnsi="Times New Roman" w:cs="Times New Roman"/>
          <w:sz w:val="20"/>
          <w:szCs w:val="20"/>
        </w:rPr>
        <w:t xml:space="preserve"> miljonit eurot</w:t>
      </w:r>
      <w:r w:rsidR="005D2F95">
        <w:rPr>
          <w:rFonts w:ascii="Times New Roman" w:hAnsi="Times New Roman" w:cs="Times New Roman"/>
          <w:sz w:val="20"/>
          <w:szCs w:val="20"/>
        </w:rPr>
        <w:t>, mis on suurenenud seoses kavandatava investeeringulaenu võtmisega.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Investeeringuid finantseeritakse jooksva aasta eelarve tuludest (</w:t>
      </w:r>
      <w:r w:rsidR="008C4C94">
        <w:rPr>
          <w:rFonts w:ascii="Times New Roman" w:hAnsi="Times New Roman" w:cs="Times New Roman"/>
          <w:sz w:val="20"/>
          <w:szCs w:val="20"/>
        </w:rPr>
        <w:t>0,</w:t>
      </w:r>
      <w:r w:rsidR="00C97BEF">
        <w:rPr>
          <w:rFonts w:ascii="Times New Roman" w:hAnsi="Times New Roman" w:cs="Times New Roman"/>
          <w:sz w:val="20"/>
          <w:szCs w:val="20"/>
        </w:rPr>
        <w:t>1</w:t>
      </w:r>
      <w:r w:rsidR="001D25DF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miljonit eurot), </w:t>
      </w:r>
      <w:r w:rsidR="008C4C94">
        <w:rPr>
          <w:rFonts w:ascii="Times New Roman" w:hAnsi="Times New Roman" w:cs="Times New Roman"/>
          <w:sz w:val="20"/>
          <w:szCs w:val="20"/>
        </w:rPr>
        <w:t>likviidsete varade arvelt (0,</w:t>
      </w:r>
      <w:r w:rsidR="00C97BEF">
        <w:rPr>
          <w:rFonts w:ascii="Times New Roman" w:hAnsi="Times New Roman" w:cs="Times New Roman"/>
          <w:sz w:val="20"/>
          <w:szCs w:val="20"/>
        </w:rPr>
        <w:t xml:space="preserve">7 </w:t>
      </w:r>
      <w:r w:rsidR="008C4C94">
        <w:rPr>
          <w:rFonts w:ascii="Times New Roman" w:hAnsi="Times New Roman" w:cs="Times New Roman"/>
          <w:sz w:val="20"/>
          <w:szCs w:val="20"/>
        </w:rPr>
        <w:t xml:space="preserve">miljonit eurot), </w:t>
      </w:r>
      <w:r w:rsidR="00362462">
        <w:rPr>
          <w:rFonts w:ascii="Times New Roman" w:hAnsi="Times New Roman" w:cs="Times New Roman"/>
          <w:sz w:val="20"/>
          <w:szCs w:val="20"/>
        </w:rPr>
        <w:t>põhivara</w:t>
      </w:r>
      <w:r>
        <w:rPr>
          <w:rFonts w:ascii="Times New Roman" w:hAnsi="Times New Roman" w:cs="Times New Roman"/>
          <w:sz w:val="20"/>
          <w:szCs w:val="20"/>
        </w:rPr>
        <w:t xml:space="preserve"> müügitulust (</w:t>
      </w:r>
      <w:r w:rsidR="00362462">
        <w:rPr>
          <w:rFonts w:ascii="Times New Roman" w:hAnsi="Times New Roman" w:cs="Times New Roman"/>
          <w:sz w:val="20"/>
          <w:szCs w:val="20"/>
        </w:rPr>
        <w:t>0,04</w:t>
      </w:r>
      <w:r>
        <w:rPr>
          <w:rFonts w:ascii="Times New Roman" w:hAnsi="Times New Roman" w:cs="Times New Roman"/>
          <w:sz w:val="20"/>
          <w:szCs w:val="20"/>
        </w:rPr>
        <w:t xml:space="preserve"> miljonit eurot), võetud uue laenu (1</w:t>
      </w:r>
      <w:r w:rsidR="00362462">
        <w:rPr>
          <w:rFonts w:ascii="Times New Roman" w:hAnsi="Times New Roman" w:cs="Times New Roman"/>
          <w:sz w:val="20"/>
          <w:szCs w:val="20"/>
        </w:rPr>
        <w:t>,1</w:t>
      </w:r>
      <w:r>
        <w:rPr>
          <w:rFonts w:ascii="Times New Roman" w:hAnsi="Times New Roman" w:cs="Times New Roman"/>
          <w:sz w:val="20"/>
          <w:szCs w:val="20"/>
        </w:rPr>
        <w:t xml:space="preserve"> miljonit eurot) ja toetuste </w:t>
      </w:r>
      <w:r w:rsidR="00362462">
        <w:rPr>
          <w:rFonts w:ascii="Times New Roman" w:hAnsi="Times New Roman" w:cs="Times New Roman"/>
          <w:sz w:val="20"/>
          <w:szCs w:val="20"/>
        </w:rPr>
        <w:t>arvelt, mis lisanduvad eelarvesse nende eraldamisel.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30C7" w:rsidRDefault="005030C7" w:rsidP="005030C7">
      <w:pPr>
        <w:pStyle w:val="Joonis"/>
        <w:contextualSpacing/>
        <w:rPr>
          <w:rFonts w:ascii="Times New Roman" w:hAnsi="Times New Roman" w:cs="Times New Roman"/>
        </w:rPr>
      </w:pPr>
    </w:p>
    <w:p w:rsidR="005030C7" w:rsidRDefault="005030C7" w:rsidP="005030C7">
      <w:pPr>
        <w:pStyle w:val="Joonis"/>
        <w:contextualSpacing/>
        <w:rPr>
          <w:rFonts w:ascii="Times New Roman" w:hAnsi="Times New Roman" w:cs="Times New Roman"/>
        </w:rPr>
      </w:pPr>
    </w:p>
    <w:p w:rsidR="005030C7" w:rsidRDefault="005030C7" w:rsidP="005030C7">
      <w:pPr>
        <w:pStyle w:val="Joonis"/>
        <w:contextualSpacing/>
        <w:rPr>
          <w:rFonts w:ascii="Times New Roman" w:hAnsi="Times New Roman" w:cs="Times New Roman"/>
        </w:rPr>
      </w:pPr>
    </w:p>
    <w:p w:rsidR="005030C7" w:rsidRDefault="005030C7" w:rsidP="005030C7">
      <w:pPr>
        <w:pStyle w:val="Joonis"/>
        <w:contextualSpacing/>
        <w:rPr>
          <w:rFonts w:ascii="Times New Roman" w:hAnsi="Times New Roman" w:cs="Times New Roman"/>
        </w:rPr>
      </w:pPr>
    </w:p>
    <w:p w:rsidR="00F143C6" w:rsidRDefault="00F143C6" w:rsidP="005030C7">
      <w:pPr>
        <w:pStyle w:val="Joonis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Joonis 2. Investeeringud valdkondade ja finantseerimisallikate kaupa (tuhat eurot)</w:t>
      </w:r>
    </w:p>
    <w:p w:rsidR="004A60A0" w:rsidRDefault="004A60A0" w:rsidP="005030C7">
      <w:pPr>
        <w:pStyle w:val="Joonis"/>
        <w:contextualSpacing/>
        <w:rPr>
          <w:rFonts w:ascii="Times New Roman" w:hAnsi="Times New Roman" w:cs="Times New Roman"/>
        </w:rPr>
      </w:pPr>
      <w:r>
        <w:rPr>
          <w:noProof/>
          <w:lang w:eastAsia="et-EE"/>
        </w:rPr>
        <w:lastRenderedPageBreak/>
        <w:drawing>
          <wp:inline distT="0" distB="0" distL="0" distR="0" wp14:anchorId="2101F008" wp14:editId="35523EE9">
            <wp:extent cx="5760720" cy="3343275"/>
            <wp:effectExtent l="0" t="0" r="11430" b="9525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85E96" w:rsidRDefault="00385E96" w:rsidP="005030C7">
      <w:pPr>
        <w:pStyle w:val="Joonis"/>
        <w:contextualSpacing/>
        <w:rPr>
          <w:rFonts w:ascii="Times New Roman" w:hAnsi="Times New Roman" w:cs="Times New Roman"/>
          <w:b w:val="0"/>
          <w:color w:val="auto"/>
        </w:rPr>
      </w:pPr>
    </w:p>
    <w:p w:rsidR="004A60A0" w:rsidRPr="004A60A0" w:rsidRDefault="004A60A0" w:rsidP="005030C7">
      <w:pPr>
        <w:pStyle w:val="Joonis"/>
        <w:contextualSpacing/>
        <w:rPr>
          <w:rFonts w:ascii="Times New Roman" w:hAnsi="Times New Roman" w:cs="Times New Roman"/>
          <w:b w:val="0"/>
          <w:color w:val="auto"/>
        </w:rPr>
      </w:pPr>
      <w:r w:rsidRPr="004A60A0">
        <w:rPr>
          <w:rFonts w:ascii="Times New Roman" w:hAnsi="Times New Roman" w:cs="Times New Roman"/>
          <w:b w:val="0"/>
          <w:color w:val="auto"/>
        </w:rPr>
        <w:t xml:space="preserve">Märkus: Toetuste summad ja kas toetust saadakse, pole teada. Lisatakse eelarvesse eraldamisel. </w:t>
      </w:r>
    </w:p>
    <w:p w:rsidR="00F143C6" w:rsidRDefault="00F143C6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Finantsseis</w:t>
      </w:r>
    </w:p>
    <w:p w:rsidR="00F143C6" w:rsidRDefault="00F143C6" w:rsidP="005030C7">
      <w:pPr>
        <w:pStyle w:val="Loendilik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4F81BD" w:themeColor="accent1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omafinantseerimisvõime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ehk põhitegevuse tulude ja põhitegevuse kulude vahe on </w:t>
      </w:r>
      <w:r w:rsidR="00C97BEF">
        <w:rPr>
          <w:rFonts w:ascii="Times New Roman" w:hAnsi="Times New Roman" w:cs="Times New Roman"/>
          <w:sz w:val="20"/>
          <w:szCs w:val="20"/>
        </w:rPr>
        <w:t>0,65</w:t>
      </w:r>
      <w:r>
        <w:rPr>
          <w:rFonts w:ascii="Times New Roman" w:hAnsi="Times New Roman" w:cs="Times New Roman"/>
          <w:sz w:val="20"/>
          <w:szCs w:val="20"/>
        </w:rPr>
        <w:t xml:space="preserve"> miljonit eurot, millest tasutakse nii olemasolevaid laenumakseid </w:t>
      </w:r>
      <w:r>
        <w:rPr>
          <w:rFonts w:ascii="Times New Roman" w:hAnsi="Times New Roman" w:cs="Times New Roman"/>
          <w:i/>
          <w:sz w:val="20"/>
          <w:szCs w:val="20"/>
        </w:rPr>
        <w:t>(jooksva aasta laenumaksete põhiosa 0,4</w:t>
      </w:r>
      <w:r w:rsidR="001D25DF">
        <w:rPr>
          <w:rFonts w:ascii="Times New Roman" w:hAnsi="Times New Roman" w:cs="Times New Roman"/>
          <w:i/>
          <w:sz w:val="20"/>
          <w:szCs w:val="20"/>
        </w:rPr>
        <w:t>7</w:t>
      </w:r>
      <w:r>
        <w:rPr>
          <w:rFonts w:ascii="Times New Roman" w:hAnsi="Times New Roman" w:cs="Times New Roman"/>
          <w:i/>
          <w:sz w:val="20"/>
          <w:szCs w:val="20"/>
        </w:rPr>
        <w:t xml:space="preserve"> miljonit eurot ehk </w:t>
      </w:r>
      <w:r w:rsidR="001D25DF">
        <w:rPr>
          <w:rFonts w:ascii="Times New Roman" w:hAnsi="Times New Roman" w:cs="Times New Roman"/>
          <w:i/>
          <w:sz w:val="20"/>
          <w:szCs w:val="20"/>
        </w:rPr>
        <w:t>72</w:t>
      </w:r>
      <w:r>
        <w:rPr>
          <w:rFonts w:ascii="Times New Roman" w:hAnsi="Times New Roman" w:cs="Times New Roman"/>
          <w:i/>
          <w:sz w:val="20"/>
          <w:szCs w:val="20"/>
        </w:rPr>
        <w:t>% põhitegevuse tulemist)</w:t>
      </w:r>
      <w:r>
        <w:rPr>
          <w:rFonts w:ascii="Times New Roman" w:hAnsi="Times New Roman" w:cs="Times New Roman"/>
          <w:sz w:val="20"/>
          <w:szCs w:val="20"/>
        </w:rPr>
        <w:t xml:space="preserve">, intressikulusid kui rahastatakse käimasolevaid investeeringuid. Eesmärk on seda taset hoida ka järgnevatel aastatel, et säilitada investeerimisvõimekus. </w:t>
      </w:r>
    </w:p>
    <w:p w:rsidR="00F143C6" w:rsidRDefault="00F143C6" w:rsidP="005030C7">
      <w:pPr>
        <w:pStyle w:val="Loendilik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netovõlakoormus </w:t>
      </w:r>
      <w:r>
        <w:rPr>
          <w:rFonts w:ascii="Times New Roman" w:hAnsi="Times New Roman" w:cs="Times New Roman"/>
          <w:sz w:val="20"/>
          <w:szCs w:val="20"/>
        </w:rPr>
        <w:t>(kohustused miinus likviidsed varad) suureneb 201</w:t>
      </w:r>
      <w:r w:rsidR="001D25DF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  <w:r w:rsidR="001D25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aasta lõpuks </w:t>
      </w:r>
      <w:r w:rsidR="001D25DF">
        <w:rPr>
          <w:rFonts w:ascii="Times New Roman" w:hAnsi="Times New Roman" w:cs="Times New Roman"/>
          <w:sz w:val="20"/>
          <w:szCs w:val="20"/>
        </w:rPr>
        <w:t>41,2</w:t>
      </w:r>
      <w:r>
        <w:rPr>
          <w:rFonts w:ascii="Times New Roman" w:hAnsi="Times New Roman" w:cs="Times New Roman"/>
          <w:sz w:val="20"/>
          <w:szCs w:val="20"/>
        </w:rPr>
        <w:t>%-</w:t>
      </w:r>
      <w:proofErr w:type="spellStart"/>
      <w:r>
        <w:rPr>
          <w:rFonts w:ascii="Times New Roman" w:hAnsi="Times New Roman" w:cs="Times New Roman"/>
          <w:sz w:val="20"/>
          <w:szCs w:val="20"/>
        </w:rPr>
        <w:t>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põhitegevuse tuludest ehk </w:t>
      </w:r>
      <w:r w:rsidR="001D25DF">
        <w:rPr>
          <w:rFonts w:ascii="Times New Roman" w:hAnsi="Times New Roman" w:cs="Times New Roman"/>
          <w:sz w:val="20"/>
          <w:szCs w:val="20"/>
        </w:rPr>
        <w:t>3,3</w:t>
      </w:r>
      <w:r>
        <w:rPr>
          <w:rFonts w:ascii="Times New Roman" w:hAnsi="Times New Roman" w:cs="Times New Roman"/>
          <w:sz w:val="20"/>
          <w:szCs w:val="20"/>
        </w:rPr>
        <w:t xml:space="preserve"> miljoni euroni. Seaduse kohaselt on valla ülempiiriks 6</w:t>
      </w:r>
      <w:r w:rsidR="001D25DF">
        <w:rPr>
          <w:rFonts w:ascii="Times New Roman" w:hAnsi="Times New Roman" w:cs="Times New Roman"/>
          <w:sz w:val="20"/>
          <w:szCs w:val="20"/>
        </w:rPr>
        <w:t>0</w:t>
      </w:r>
      <w:r w:rsidR="00692AA7">
        <w:rPr>
          <w:rFonts w:ascii="Times New Roman" w:hAnsi="Times New Roman" w:cs="Times New Roman"/>
          <w:sz w:val="20"/>
          <w:szCs w:val="20"/>
        </w:rPr>
        <w:t>%, mis tähendab, et on võimalus</w:t>
      </w:r>
      <w:r>
        <w:rPr>
          <w:rFonts w:ascii="Times New Roman" w:hAnsi="Times New Roman" w:cs="Times New Roman"/>
          <w:sz w:val="20"/>
          <w:szCs w:val="20"/>
        </w:rPr>
        <w:t xml:space="preserve"> täiendavalt laenu võtta</w:t>
      </w:r>
      <w:r w:rsidR="00692AA7">
        <w:rPr>
          <w:rFonts w:ascii="Times New Roman" w:hAnsi="Times New Roman" w:cs="Times New Roman"/>
          <w:sz w:val="20"/>
          <w:szCs w:val="20"/>
        </w:rPr>
        <w:t>, kuid tuleb töötada toetuste saamise nimel</w:t>
      </w:r>
      <w:r>
        <w:rPr>
          <w:rFonts w:ascii="Times New Roman" w:hAnsi="Times New Roman" w:cs="Times New Roman"/>
          <w:sz w:val="20"/>
          <w:szCs w:val="20"/>
        </w:rPr>
        <w:t xml:space="preserve"> ning </w:t>
      </w:r>
      <w:r w:rsidR="00692AA7">
        <w:rPr>
          <w:rFonts w:ascii="Times New Roman" w:hAnsi="Times New Roman" w:cs="Times New Roman"/>
          <w:sz w:val="20"/>
          <w:szCs w:val="20"/>
        </w:rPr>
        <w:t xml:space="preserve">säilitada või suurendada </w:t>
      </w:r>
      <w:proofErr w:type="spellStart"/>
      <w:r w:rsidR="00692AA7">
        <w:rPr>
          <w:rFonts w:ascii="Times New Roman" w:hAnsi="Times New Roman" w:cs="Times New Roman"/>
          <w:sz w:val="20"/>
          <w:szCs w:val="20"/>
        </w:rPr>
        <w:t>omafinantseerimisv</w:t>
      </w:r>
      <w:r>
        <w:rPr>
          <w:rFonts w:ascii="Times New Roman" w:hAnsi="Times New Roman" w:cs="Times New Roman"/>
          <w:sz w:val="20"/>
          <w:szCs w:val="20"/>
        </w:rPr>
        <w:t>õ</w:t>
      </w:r>
      <w:r w:rsidR="00692AA7">
        <w:rPr>
          <w:rFonts w:ascii="Times New Roman" w:hAnsi="Times New Roman" w:cs="Times New Roman"/>
          <w:sz w:val="20"/>
          <w:szCs w:val="20"/>
        </w:rPr>
        <w:t>imeku</w:t>
      </w:r>
      <w:r>
        <w:rPr>
          <w:rFonts w:ascii="Times New Roman" w:hAnsi="Times New Roman" w:cs="Times New Roman"/>
          <w:sz w:val="20"/>
          <w:szCs w:val="20"/>
        </w:rPr>
        <w:t>st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</w:t>
      </w:r>
    </w:p>
    <w:p w:rsidR="00F143C6" w:rsidRDefault="00692AA7" w:rsidP="005030C7">
      <w:pPr>
        <w:pStyle w:val="Loendilik"/>
        <w:numPr>
          <w:ilvl w:val="0"/>
          <w:numId w:val="8"/>
        </w:numPr>
        <w:jc w:val="both"/>
        <w:rPr>
          <w:rFonts w:ascii="Times New Roman" w:hAnsi="Times New Roman" w:cs="Times New Roman"/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likviidsete varade mahu kasvu ei ole</w:t>
      </w:r>
      <w:r w:rsidR="00F143C6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6</w:t>
      </w:r>
      <w:r w:rsidR="00F143C6">
        <w:rPr>
          <w:rFonts w:ascii="Times New Roman" w:hAnsi="Times New Roman" w:cs="Times New Roman"/>
          <w:sz w:val="20"/>
          <w:szCs w:val="20"/>
        </w:rPr>
        <w:t xml:space="preserve">.aastal </w:t>
      </w:r>
      <w:r>
        <w:rPr>
          <w:rFonts w:ascii="Times New Roman" w:hAnsi="Times New Roman" w:cs="Times New Roman"/>
          <w:sz w:val="20"/>
          <w:szCs w:val="20"/>
        </w:rPr>
        <w:t>ette näha.</w:t>
      </w: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C6" w:rsidRPr="00685E8F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F143C6" w:rsidRPr="00685E8F" w:rsidSect="0066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F9" w:rsidRDefault="008E49F9" w:rsidP="00682013">
      <w:pPr>
        <w:spacing w:after="0" w:line="240" w:lineRule="auto"/>
      </w:pPr>
      <w:r>
        <w:separator/>
      </w:r>
    </w:p>
  </w:endnote>
  <w:endnote w:type="continuationSeparator" w:id="0">
    <w:p w:rsidR="008E49F9" w:rsidRDefault="008E49F9" w:rsidP="006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F9" w:rsidRDefault="008E49F9" w:rsidP="00682013">
      <w:pPr>
        <w:spacing w:after="0" w:line="240" w:lineRule="auto"/>
      </w:pPr>
      <w:r>
        <w:separator/>
      </w:r>
    </w:p>
  </w:footnote>
  <w:footnote w:type="continuationSeparator" w:id="0">
    <w:p w:rsidR="008E49F9" w:rsidRDefault="008E49F9" w:rsidP="00682013">
      <w:pPr>
        <w:spacing w:after="0" w:line="240" w:lineRule="auto"/>
      </w:pPr>
      <w:r>
        <w:continuationSeparator/>
      </w:r>
    </w:p>
  </w:footnote>
  <w:footnote w:id="1">
    <w:p w:rsidR="00514C14" w:rsidRDefault="00514C14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m</w:t>
      </w:r>
      <w:r w:rsidRPr="006A22B7">
        <w:rPr>
          <w:rFonts w:ascii="Times New Roman" w:hAnsi="Times New Roman" w:cs="Times New Roman"/>
          <w:sz w:val="16"/>
          <w:szCs w:val="16"/>
        </w:rPr>
        <w:t>aksutulud, tulud kaupade ja teenuste müügist, saadavad toetused, muud tegevustulud</w:t>
      </w:r>
    </w:p>
  </w:footnote>
  <w:footnote w:id="2">
    <w:p w:rsidR="00682013" w:rsidRPr="00C4462B" w:rsidRDefault="00682013" w:rsidP="00682013">
      <w:pPr>
        <w:pStyle w:val="Allmrkusetekst"/>
        <w:rPr>
          <w:rFonts w:ascii="Times New Roman" w:hAnsi="Times New Roman" w:cs="Times New Roman"/>
          <w:sz w:val="16"/>
          <w:szCs w:val="16"/>
        </w:rPr>
      </w:pPr>
      <w:r w:rsidRPr="00C4462B">
        <w:rPr>
          <w:rStyle w:val="Allmrkuseviide"/>
          <w:rFonts w:ascii="Times New Roman" w:hAnsi="Times New Roman" w:cs="Times New Roman"/>
          <w:sz w:val="16"/>
          <w:szCs w:val="16"/>
        </w:rPr>
        <w:footnoteRef/>
      </w:r>
      <w:r w:rsidR="00F3592D">
        <w:rPr>
          <w:rFonts w:ascii="Times New Roman" w:hAnsi="Times New Roman" w:cs="Times New Roman"/>
          <w:sz w:val="16"/>
          <w:szCs w:val="16"/>
        </w:rPr>
        <w:t xml:space="preserve"> s</w:t>
      </w:r>
      <w:r w:rsidRPr="00C4462B">
        <w:rPr>
          <w:rFonts w:ascii="Times New Roman" w:hAnsi="Times New Roman" w:cs="Times New Roman"/>
          <w:sz w:val="16"/>
          <w:szCs w:val="16"/>
        </w:rPr>
        <w:t xml:space="preserve">ellist tähistust, võrdlemaks 2015.aasta eelarvet 2014.aasta eelarve täitmisega, </w:t>
      </w:r>
      <w:r w:rsidR="00F3592D">
        <w:rPr>
          <w:rFonts w:ascii="Times New Roman" w:hAnsi="Times New Roman" w:cs="Times New Roman"/>
          <w:sz w:val="16"/>
          <w:szCs w:val="16"/>
        </w:rPr>
        <w:t>kasutatakse dokumendis läbivalt</w:t>
      </w:r>
    </w:p>
  </w:footnote>
  <w:footnote w:id="3">
    <w:p w:rsidR="00F143C6" w:rsidRDefault="00F143C6" w:rsidP="00F143C6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antavad toetused, muud tegevuskulud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C75"/>
    <w:multiLevelType w:val="hybridMultilevel"/>
    <w:tmpl w:val="F52C2BF8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0933"/>
    <w:multiLevelType w:val="hybridMultilevel"/>
    <w:tmpl w:val="15B8AA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05C26"/>
    <w:multiLevelType w:val="hybridMultilevel"/>
    <w:tmpl w:val="08D88074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1F4174"/>
    <w:multiLevelType w:val="hybridMultilevel"/>
    <w:tmpl w:val="A6F0B4A8"/>
    <w:lvl w:ilvl="0" w:tplc="042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50588"/>
    <w:multiLevelType w:val="hybridMultilevel"/>
    <w:tmpl w:val="DDB855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36C3D"/>
    <w:multiLevelType w:val="hybridMultilevel"/>
    <w:tmpl w:val="42D0AD18"/>
    <w:lvl w:ilvl="0" w:tplc="64DE2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13"/>
    <w:rsid w:val="000315EA"/>
    <w:rsid w:val="0005367A"/>
    <w:rsid w:val="000632B5"/>
    <w:rsid w:val="000B2CE0"/>
    <w:rsid w:val="001255E3"/>
    <w:rsid w:val="00177D94"/>
    <w:rsid w:val="001A07E8"/>
    <w:rsid w:val="001A23AD"/>
    <w:rsid w:val="001A3695"/>
    <w:rsid w:val="001D25DF"/>
    <w:rsid w:val="00255AD8"/>
    <w:rsid w:val="00267B57"/>
    <w:rsid w:val="0027380C"/>
    <w:rsid w:val="00327BC1"/>
    <w:rsid w:val="00362462"/>
    <w:rsid w:val="003800FF"/>
    <w:rsid w:val="00385E96"/>
    <w:rsid w:val="0038620E"/>
    <w:rsid w:val="003B0467"/>
    <w:rsid w:val="003F44CB"/>
    <w:rsid w:val="004121B9"/>
    <w:rsid w:val="004A60A0"/>
    <w:rsid w:val="004A6A31"/>
    <w:rsid w:val="005030C7"/>
    <w:rsid w:val="00514C14"/>
    <w:rsid w:val="00555319"/>
    <w:rsid w:val="005D2F95"/>
    <w:rsid w:val="00606946"/>
    <w:rsid w:val="00623AB1"/>
    <w:rsid w:val="00682013"/>
    <w:rsid w:val="00692AA7"/>
    <w:rsid w:val="006966DF"/>
    <w:rsid w:val="006C408C"/>
    <w:rsid w:val="006C55FF"/>
    <w:rsid w:val="00703B27"/>
    <w:rsid w:val="007C1310"/>
    <w:rsid w:val="007E5644"/>
    <w:rsid w:val="00857490"/>
    <w:rsid w:val="008617ED"/>
    <w:rsid w:val="008C4C94"/>
    <w:rsid w:val="008D08F4"/>
    <w:rsid w:val="008E49F9"/>
    <w:rsid w:val="00A208B4"/>
    <w:rsid w:val="00A73D01"/>
    <w:rsid w:val="00A74929"/>
    <w:rsid w:val="00AC4E27"/>
    <w:rsid w:val="00AD3456"/>
    <w:rsid w:val="00AE242F"/>
    <w:rsid w:val="00B05C61"/>
    <w:rsid w:val="00B92E72"/>
    <w:rsid w:val="00BD30CD"/>
    <w:rsid w:val="00C400BA"/>
    <w:rsid w:val="00C4422F"/>
    <w:rsid w:val="00C4462B"/>
    <w:rsid w:val="00C80452"/>
    <w:rsid w:val="00C97BEF"/>
    <w:rsid w:val="00D62E2B"/>
    <w:rsid w:val="00DA00D5"/>
    <w:rsid w:val="00E078DC"/>
    <w:rsid w:val="00E30711"/>
    <w:rsid w:val="00E541E7"/>
    <w:rsid w:val="00E7137B"/>
    <w:rsid w:val="00EA10E3"/>
    <w:rsid w:val="00EA6C5B"/>
    <w:rsid w:val="00F01C0E"/>
    <w:rsid w:val="00F143C6"/>
    <w:rsid w:val="00F3592D"/>
    <w:rsid w:val="00F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ED3D9-F633-458E-8080-5338543A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82013"/>
  </w:style>
  <w:style w:type="paragraph" w:styleId="Pealkiri1">
    <w:name w:val="heading 1"/>
    <w:basedOn w:val="Normaallaad"/>
    <w:next w:val="Normaallaad"/>
    <w:link w:val="Pealkiri1Mrk"/>
    <w:uiPriority w:val="9"/>
    <w:qFormat/>
    <w:rsid w:val="00682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8201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82013"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8201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82013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82013"/>
    <w:rPr>
      <w:vertAlign w:val="superscript"/>
    </w:rPr>
  </w:style>
  <w:style w:type="paragraph" w:customStyle="1" w:styleId="Pealkiri10">
    <w:name w:val="Pealkiri1"/>
    <w:basedOn w:val="Pealkiri1"/>
    <w:link w:val="PealkiriChar"/>
    <w:qFormat/>
    <w:rsid w:val="00682013"/>
    <w:rPr>
      <w:rFonts w:asciiTheme="minorHAnsi" w:hAnsiTheme="minorHAnsi"/>
      <w:color w:val="4F81BD" w:themeColor="accent1"/>
      <w:sz w:val="24"/>
      <w:szCs w:val="24"/>
    </w:rPr>
  </w:style>
  <w:style w:type="paragraph" w:customStyle="1" w:styleId="Joonis">
    <w:name w:val="Joonis"/>
    <w:basedOn w:val="Normaallaad"/>
    <w:link w:val="JoonisChar"/>
    <w:qFormat/>
    <w:rsid w:val="00682013"/>
    <w:pPr>
      <w:jc w:val="both"/>
    </w:pPr>
    <w:rPr>
      <w:b/>
      <w:bCs/>
      <w:color w:val="4F81BD" w:themeColor="accent1"/>
    </w:rPr>
  </w:style>
  <w:style w:type="character" w:customStyle="1" w:styleId="PealkiriChar">
    <w:name w:val="Pealkiri Char"/>
    <w:basedOn w:val="Pealkiri1Mrk"/>
    <w:link w:val="Pealkiri10"/>
    <w:rsid w:val="006820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oonisChar">
    <w:name w:val="Joonis Char"/>
    <w:basedOn w:val="Liguvaikefont"/>
    <w:link w:val="Joonis"/>
    <w:rsid w:val="00682013"/>
    <w:rPr>
      <w:b/>
      <w:bCs/>
      <w:color w:val="4F81BD" w:themeColor="accent1"/>
    </w:rPr>
  </w:style>
  <w:style w:type="character" w:customStyle="1" w:styleId="Pealkiri1Mrk">
    <w:name w:val="Pealkiri 1 Märk"/>
    <w:basedOn w:val="Liguvaikefont"/>
    <w:link w:val="Pealkiri1"/>
    <w:uiPriority w:val="9"/>
    <w:rsid w:val="00682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2013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unhideWhenUsed/>
    <w:rsid w:val="00623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23AB1"/>
  </w:style>
  <w:style w:type="character" w:styleId="Hperlink">
    <w:name w:val="Hyperlink"/>
    <w:basedOn w:val="Liguvaikefont"/>
    <w:uiPriority w:val="99"/>
    <w:unhideWhenUsed/>
    <w:rsid w:val="0027380C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2738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eiki.hepner\AppData\Local\Microsoft\Windows\Temporary%20Internet%20Files\Content.Outlook\ZNH4LRAY\Eelarvestrateegiad\Eelarvestrateegia%202016-2019.od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i_t__leh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i_t__leh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274811802370872E-2"/>
          <c:y val="6.1612097415437009E-2"/>
          <c:w val="0.72305299203898421"/>
          <c:h val="0.7467527953107738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lisa1!$C$31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  <c:pt idx="4">
                    <c:v>2016</c:v>
                  </c:pt>
                  <c:pt idx="5">
                    <c:v>2015</c:v>
                  </c:pt>
                  <c:pt idx="6">
                    <c:v>2016</c:v>
                  </c:pt>
                  <c:pt idx="7">
                    <c:v>2015</c:v>
                  </c:pt>
                  <c:pt idx="8">
                    <c:v>2016</c:v>
                  </c:pt>
                  <c:pt idx="9">
                    <c:v>2015</c:v>
                  </c:pt>
                  <c:pt idx="10">
                    <c:v>2016</c:v>
                  </c:pt>
                  <c:pt idx="11">
                    <c:v>2015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lisa1!$C$32:$C$43</c:f>
              <c:numCache>
                <c:formatCode>General</c:formatCode>
                <c:ptCount val="12"/>
                <c:pt idx="0">
                  <c:v>1186.1610000000001</c:v>
                </c:pt>
                <c:pt idx="2">
                  <c:v>329.54599999999999</c:v>
                </c:pt>
                <c:pt idx="4">
                  <c:v>146.173</c:v>
                </c:pt>
                <c:pt idx="6">
                  <c:v>138.62100000000001</c:v>
                </c:pt>
                <c:pt idx="8">
                  <c:v>383.45100000000002</c:v>
                </c:pt>
                <c:pt idx="10">
                  <c:v>295.13800000000003</c:v>
                </c:pt>
              </c:numCache>
            </c:numRef>
          </c:val>
        </c:ser>
        <c:ser>
          <c:idx val="1"/>
          <c:order val="1"/>
          <c:tx>
            <c:strRef>
              <c:f>lisa1!$D$31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  <c:pt idx="4">
                    <c:v>2016</c:v>
                  </c:pt>
                  <c:pt idx="5">
                    <c:v>2015</c:v>
                  </c:pt>
                  <c:pt idx="6">
                    <c:v>2016</c:v>
                  </c:pt>
                  <c:pt idx="7">
                    <c:v>2015</c:v>
                  </c:pt>
                  <c:pt idx="8">
                    <c:v>2016</c:v>
                  </c:pt>
                  <c:pt idx="9">
                    <c:v>2015</c:v>
                  </c:pt>
                  <c:pt idx="10">
                    <c:v>2016</c:v>
                  </c:pt>
                  <c:pt idx="11">
                    <c:v>2015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lisa1!$D$32:$D$43</c:f>
              <c:numCache>
                <c:formatCode>General</c:formatCode>
                <c:ptCount val="12"/>
                <c:pt idx="0">
                  <c:v>2908.877</c:v>
                </c:pt>
                <c:pt idx="2">
                  <c:v>616.33299999999997</c:v>
                </c:pt>
                <c:pt idx="4">
                  <c:v>109.56</c:v>
                </c:pt>
                <c:pt idx="6">
                  <c:v>336.39100000000002</c:v>
                </c:pt>
                <c:pt idx="8">
                  <c:v>98.088999999999999</c:v>
                </c:pt>
                <c:pt idx="10">
                  <c:v>126.86800000000039</c:v>
                </c:pt>
              </c:numCache>
            </c:numRef>
          </c:val>
        </c:ser>
        <c:ser>
          <c:idx val="2"/>
          <c:order val="2"/>
          <c:tx>
            <c:strRef>
              <c:f>lisa1!$E$31</c:f>
              <c:strCache>
                <c:ptCount val="1"/>
                <c:pt idx="0">
                  <c:v>antavad toetused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  <c:pt idx="4">
                    <c:v>2016</c:v>
                  </c:pt>
                  <c:pt idx="5">
                    <c:v>2015</c:v>
                  </c:pt>
                  <c:pt idx="6">
                    <c:v>2016</c:v>
                  </c:pt>
                  <c:pt idx="7">
                    <c:v>2015</c:v>
                  </c:pt>
                  <c:pt idx="8">
                    <c:v>2016</c:v>
                  </c:pt>
                  <c:pt idx="9">
                    <c:v>2015</c:v>
                  </c:pt>
                  <c:pt idx="10">
                    <c:v>2016</c:v>
                  </c:pt>
                  <c:pt idx="11">
                    <c:v>2015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lisa1!$E$32:$E$43</c:f>
              <c:numCache>
                <c:formatCode>General</c:formatCode>
                <c:ptCount val="12"/>
                <c:pt idx="0">
                  <c:v>1.5</c:v>
                </c:pt>
                <c:pt idx="2">
                  <c:v>153.78299999999999</c:v>
                </c:pt>
                <c:pt idx="4">
                  <c:v>363.14100000000002</c:v>
                </c:pt>
                <c:pt idx="6">
                  <c:v>41.667999999999999</c:v>
                </c:pt>
                <c:pt idx="8">
                  <c:v>0</c:v>
                </c:pt>
                <c:pt idx="10">
                  <c:v>45.796999999999976</c:v>
                </c:pt>
              </c:numCache>
            </c:numRef>
          </c:val>
        </c:ser>
        <c:ser>
          <c:idx val="3"/>
          <c:order val="3"/>
          <c:tx>
            <c:strRef>
              <c:f>lisa1!$F$31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  <c:pt idx="4">
                    <c:v>2016</c:v>
                  </c:pt>
                  <c:pt idx="5">
                    <c:v>2015</c:v>
                  </c:pt>
                  <c:pt idx="6">
                    <c:v>2016</c:v>
                  </c:pt>
                  <c:pt idx="7">
                    <c:v>2015</c:v>
                  </c:pt>
                  <c:pt idx="8">
                    <c:v>2016</c:v>
                  </c:pt>
                  <c:pt idx="9">
                    <c:v>2015</c:v>
                  </c:pt>
                  <c:pt idx="10">
                    <c:v>2016</c:v>
                  </c:pt>
                  <c:pt idx="11">
                    <c:v>2015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lisa1!$F$32:$F$43</c:f>
              <c:numCache>
                <c:formatCode>General</c:formatCode>
                <c:ptCount val="12"/>
                <c:pt idx="1">
                  <c:v>1087.7080000000001</c:v>
                </c:pt>
                <c:pt idx="3">
                  <c:v>309.92</c:v>
                </c:pt>
                <c:pt idx="5">
                  <c:v>127.483</c:v>
                </c:pt>
                <c:pt idx="7">
                  <c:v>101.55800000000001</c:v>
                </c:pt>
                <c:pt idx="9">
                  <c:v>300.54599999999999</c:v>
                </c:pt>
                <c:pt idx="11">
                  <c:v>235.82299999999992</c:v>
                </c:pt>
              </c:numCache>
            </c:numRef>
          </c:val>
        </c:ser>
        <c:ser>
          <c:idx val="4"/>
          <c:order val="4"/>
          <c:tx>
            <c:strRef>
              <c:f>lisa1!$G$31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  <c:pt idx="4">
                    <c:v>2016</c:v>
                  </c:pt>
                  <c:pt idx="5">
                    <c:v>2015</c:v>
                  </c:pt>
                  <c:pt idx="6">
                    <c:v>2016</c:v>
                  </c:pt>
                  <c:pt idx="7">
                    <c:v>2015</c:v>
                  </c:pt>
                  <c:pt idx="8">
                    <c:v>2016</c:v>
                  </c:pt>
                  <c:pt idx="9">
                    <c:v>2015</c:v>
                  </c:pt>
                  <c:pt idx="10">
                    <c:v>2016</c:v>
                  </c:pt>
                  <c:pt idx="11">
                    <c:v>2015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lisa1!$G$32:$G$43</c:f>
              <c:numCache>
                <c:formatCode>General</c:formatCode>
                <c:ptCount val="12"/>
                <c:pt idx="1">
                  <c:v>2644.8310000000001</c:v>
                </c:pt>
                <c:pt idx="3">
                  <c:v>573.99300000000005</c:v>
                </c:pt>
                <c:pt idx="5">
                  <c:v>99.736999999999995</c:v>
                </c:pt>
                <c:pt idx="7">
                  <c:v>296.959</c:v>
                </c:pt>
                <c:pt idx="9">
                  <c:v>86.808000000000007</c:v>
                </c:pt>
                <c:pt idx="11">
                  <c:v>114.88999999999969</c:v>
                </c:pt>
              </c:numCache>
            </c:numRef>
          </c:val>
        </c:ser>
        <c:ser>
          <c:idx val="5"/>
          <c:order val="5"/>
          <c:tx>
            <c:strRef>
              <c:f>lisa1!$H$31</c:f>
              <c:strCache>
                <c:ptCount val="1"/>
                <c:pt idx="0">
                  <c:v>antavad toetuses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  <c:pt idx="4">
                    <c:v>2016</c:v>
                  </c:pt>
                  <c:pt idx="5">
                    <c:v>2015</c:v>
                  </c:pt>
                  <c:pt idx="6">
                    <c:v>2016</c:v>
                  </c:pt>
                  <c:pt idx="7">
                    <c:v>2015</c:v>
                  </c:pt>
                  <c:pt idx="8">
                    <c:v>2016</c:v>
                  </c:pt>
                  <c:pt idx="9">
                    <c:v>2015</c:v>
                  </c:pt>
                  <c:pt idx="10">
                    <c:v>2016</c:v>
                  </c:pt>
                  <c:pt idx="11">
                    <c:v>2015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lisa1!$H$32:$H$43</c:f>
              <c:numCache>
                <c:formatCode>General</c:formatCode>
                <c:ptCount val="12"/>
                <c:pt idx="1">
                  <c:v>1.496</c:v>
                </c:pt>
                <c:pt idx="3">
                  <c:v>159.99799999999999</c:v>
                </c:pt>
                <c:pt idx="5">
                  <c:v>303.05</c:v>
                </c:pt>
                <c:pt idx="7">
                  <c:v>40.368000000000002</c:v>
                </c:pt>
                <c:pt idx="9">
                  <c:v>9.6419999999999995</c:v>
                </c:pt>
                <c:pt idx="11">
                  <c:v>30.01100000000007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1433616"/>
        <c:axId val="191734552"/>
      </c:barChart>
      <c:lineChart>
        <c:grouping val="standard"/>
        <c:varyColors val="0"/>
        <c:ser>
          <c:idx val="6"/>
          <c:order val="6"/>
          <c:tx>
            <c:strRef>
              <c:f>lisa1!$I$31</c:f>
              <c:strCache>
                <c:ptCount val="1"/>
                <c:pt idx="0">
                  <c:v>muutus</c:v>
                </c:pt>
              </c:strCache>
            </c:strRef>
          </c:tx>
          <c:spPr>
            <a:ln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dPt>
            <c:idx val="1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3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5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7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lisa1!$A$32:$B$43</c:f>
              <c:multiLvlStrCache>
                <c:ptCount val="12"/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  <c:pt idx="4">
                    <c:v>2016</c:v>
                  </c:pt>
                  <c:pt idx="5">
                    <c:v>2015</c:v>
                  </c:pt>
                  <c:pt idx="6">
                    <c:v>2016</c:v>
                  </c:pt>
                  <c:pt idx="7">
                    <c:v>2015</c:v>
                  </c:pt>
                  <c:pt idx="8">
                    <c:v>2016</c:v>
                  </c:pt>
                  <c:pt idx="9">
                    <c:v>2015</c:v>
                  </c:pt>
                  <c:pt idx="10">
                    <c:v>2016</c:v>
                  </c:pt>
                  <c:pt idx="11">
                    <c:v>2015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lisa1!$I$32:$I$43</c:f>
              <c:numCache>
                <c:formatCode>General</c:formatCode>
                <c:ptCount val="12"/>
                <c:pt idx="0" formatCode="0%">
                  <c:v>9.7080771872786409E-2</c:v>
                </c:pt>
                <c:pt idx="2" formatCode="0%">
                  <c:v>5.3405893797459525E-2</c:v>
                </c:pt>
                <c:pt idx="4" formatCode="0%">
                  <c:v>0.16709223603070145</c:v>
                </c:pt>
                <c:pt idx="6" formatCode="0%">
                  <c:v>0.1772560010025408</c:v>
                </c:pt>
                <c:pt idx="8" formatCode="0%">
                  <c:v>0.21295932452719946</c:v>
                </c:pt>
                <c:pt idx="10" formatCode="0%">
                  <c:v>0.22871949233565725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497144"/>
        <c:axId val="191496760"/>
      </c:lineChart>
      <c:catAx>
        <c:axId val="191433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1734552"/>
        <c:crosses val="autoZero"/>
        <c:auto val="1"/>
        <c:lblAlgn val="ctr"/>
        <c:lblOffset val="100"/>
        <c:noMultiLvlLbl val="0"/>
      </c:catAx>
      <c:valAx>
        <c:axId val="191734552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191433616"/>
        <c:crosses val="autoZero"/>
        <c:crossBetween val="between"/>
      </c:valAx>
      <c:valAx>
        <c:axId val="191496760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crossAx val="191497144"/>
        <c:crosses val="max"/>
        <c:crossBetween val="between"/>
      </c:valAx>
      <c:catAx>
        <c:axId val="191497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91496760"/>
        <c:crosses val="autoZero"/>
        <c:auto val="1"/>
        <c:lblAlgn val="ctr"/>
        <c:lblOffset val="100"/>
        <c:noMultiLvlLbl val="0"/>
      </c:cat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4031336360732689"/>
          <c:y val="0.46001899896561183"/>
          <c:w val="0.15968663639267314"/>
          <c:h val="0.2240189145257647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800"/>
      </a:pPr>
      <a:endParaRPr lang="et-E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lisa2!$A$30</c:f>
              <c:strCache>
                <c:ptCount val="1"/>
                <c:pt idx="0">
                  <c:v>toetus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Elamu- ja Kommunaalmajandus</c:v>
                </c:pt>
                <c:pt idx="3">
                  <c:v>Vaba aeg, kultuur, religioon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lisa2!$B$30:$G$30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lisa2!$A$31</c:f>
              <c:strCache>
                <c:ptCount val="1"/>
                <c:pt idx="0">
                  <c:v>oma- või võõrvahendid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Elamu- ja Kommunaalmajandus</c:v>
                </c:pt>
                <c:pt idx="3">
                  <c:v>Vaba aeg, kultuur, religioon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lisa2!$B$31:$G$31</c:f>
              <c:numCache>
                <c:formatCode>General</c:formatCode>
                <c:ptCount val="6"/>
                <c:pt idx="0">
                  <c:v>692.96900000000005</c:v>
                </c:pt>
                <c:pt idx="1">
                  <c:v>643.30200000000002</c:v>
                </c:pt>
                <c:pt idx="2">
                  <c:v>250.374</c:v>
                </c:pt>
                <c:pt idx="3">
                  <c:v>243.398</c:v>
                </c:pt>
                <c:pt idx="4">
                  <c:v>144.87299999999999</c:v>
                </c:pt>
                <c:pt idx="5">
                  <c:v>9.9999999999997726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1399016"/>
        <c:axId val="191399400"/>
      </c:barChart>
      <c:lineChart>
        <c:grouping val="standard"/>
        <c:varyColors val="0"/>
        <c:ser>
          <c:idx val="2"/>
          <c:order val="2"/>
          <c:tx>
            <c:strRef>
              <c:f>lisa2!$A$32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Elamu- ja Kommunaalmajandus</c:v>
                </c:pt>
                <c:pt idx="3">
                  <c:v>Vaba aeg, kultuur, religioon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lisa2!$B$32:$G$32</c:f>
              <c:numCache>
                <c:formatCode>General</c:formatCode>
                <c:ptCount val="6"/>
                <c:pt idx="0">
                  <c:v>22.887</c:v>
                </c:pt>
                <c:pt idx="1">
                  <c:v>386.61799999999999</c:v>
                </c:pt>
                <c:pt idx="2">
                  <c:v>85.6</c:v>
                </c:pt>
                <c:pt idx="3">
                  <c:v>46.383000000000003</c:v>
                </c:pt>
                <c:pt idx="4">
                  <c:v>0.20799999999999999</c:v>
                </c:pt>
                <c:pt idx="5">
                  <c:v>2.8790000000000191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399016"/>
        <c:axId val="191399400"/>
      </c:lineChart>
      <c:catAx>
        <c:axId val="191399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1399400"/>
        <c:crosses val="autoZero"/>
        <c:auto val="1"/>
        <c:lblAlgn val="ctr"/>
        <c:lblOffset val="100"/>
        <c:noMultiLvlLbl val="0"/>
      </c:catAx>
      <c:valAx>
        <c:axId val="191399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13990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t-EE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E3F2B-5283-4663-BE3D-57255AD9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1023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Rahandusministeerium</Company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pirgit.lohk</dc:creator>
  <cp:lastModifiedBy>Piret Puun</cp:lastModifiedBy>
  <cp:revision>7</cp:revision>
  <cp:lastPrinted>2016-02-29T12:29:00Z</cp:lastPrinted>
  <dcterms:created xsi:type="dcterms:W3CDTF">2016-03-03T09:03:00Z</dcterms:created>
  <dcterms:modified xsi:type="dcterms:W3CDTF">2016-03-03T09:18:00Z</dcterms:modified>
</cp:coreProperties>
</file>